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92" w:rsidRPr="00E876D4" w:rsidRDefault="00755392" w:rsidP="00755392">
      <w:pPr>
        <w:pStyle w:val="2"/>
        <w:spacing w:line="276" w:lineRule="auto"/>
        <w:rPr>
          <w:rFonts w:asciiTheme="minorHAnsi" w:hAnsiTheme="minorHAnsi" w:cstheme="minorHAnsi"/>
          <w:b/>
          <w:sz w:val="24"/>
          <w:szCs w:val="24"/>
          <w:lang w:val="el-GR"/>
        </w:rPr>
      </w:pPr>
      <w:bookmarkStart w:id="0" w:name="_Toc23242320"/>
      <w:r w:rsidRPr="00E876D4">
        <w:rPr>
          <w:rFonts w:asciiTheme="minorHAnsi" w:hAnsiTheme="minorHAnsi" w:cstheme="minorHAnsi"/>
          <w:b/>
          <w:sz w:val="24"/>
          <w:szCs w:val="24"/>
          <w:lang w:val="el-GR"/>
        </w:rPr>
        <w:t xml:space="preserve">Έντυπο Συμφωνίας Εφευρετών </w:t>
      </w:r>
      <w:bookmarkEnd w:id="0"/>
    </w:p>
    <w:p w:rsidR="00755392" w:rsidRPr="00B73D3B" w:rsidRDefault="00755392" w:rsidP="00755392">
      <w:pPr>
        <w:autoSpaceDE w:val="0"/>
        <w:autoSpaceDN w:val="0"/>
        <w:adjustRightInd w:val="0"/>
        <w:spacing w:after="0" w:line="276" w:lineRule="auto"/>
        <w:jc w:val="center"/>
        <w:rPr>
          <w:rFonts w:eastAsia="TimesNewRoman" w:cstheme="minorHAnsi"/>
          <w:b/>
          <w:bCs/>
          <w:sz w:val="24"/>
          <w:szCs w:val="24"/>
        </w:rPr>
      </w:pPr>
    </w:p>
    <w:p w:rsidR="00755392" w:rsidRPr="00B73D3B" w:rsidRDefault="00755392" w:rsidP="00755392">
      <w:pPr>
        <w:autoSpaceDE w:val="0"/>
        <w:autoSpaceDN w:val="0"/>
        <w:adjustRightInd w:val="0"/>
        <w:spacing w:after="0" w:line="276" w:lineRule="auto"/>
        <w:jc w:val="center"/>
        <w:rPr>
          <w:rFonts w:eastAsia="TimesNewRoman" w:cstheme="minorHAnsi"/>
          <w:b/>
          <w:bCs/>
          <w:sz w:val="24"/>
          <w:szCs w:val="24"/>
        </w:rPr>
      </w:pPr>
      <w:r w:rsidRPr="00B73D3B">
        <w:rPr>
          <w:rFonts w:eastAsia="TimesNewRoman" w:cstheme="minorHAnsi"/>
          <w:b/>
          <w:bCs/>
          <w:sz w:val="24"/>
          <w:szCs w:val="24"/>
        </w:rPr>
        <w:t xml:space="preserve">ΣΥΜΦΩΝΙΑ ΕΦΕΥΡΕΤΩΝ ΓΙΑ ΔΙΑΧΕΙΡΙΣΗ ΔΙΚΑΙΩΜΑΤΩΝ ΒΙΟΜΗΧΑΝΙΚΗΣ ΙΔΙΟΚΤΗΣΙΑΣ ΑΠΟ ΤΟΝ ΕΛΚΕ-ΠΚ </w:t>
      </w:r>
    </w:p>
    <w:p w:rsidR="00755392" w:rsidRPr="00B73D3B" w:rsidRDefault="00755392" w:rsidP="00755392">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1. Επιστημονικά Υπεύθυνος: ..................................................................</w:t>
      </w:r>
    </w:p>
    <w:p w:rsidR="00755392" w:rsidRPr="00B73D3B" w:rsidRDefault="00755392" w:rsidP="00755392">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2. Τίτλος έργου: ……………………………………………………………………</w:t>
      </w:r>
    </w:p>
    <w:p w:rsidR="00755392" w:rsidRPr="00B73D3B" w:rsidRDefault="00755392" w:rsidP="00755392">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(Έντυπο Γνωστοποίησης Ευρεσιτεχνίας του Παραρτήματος Ι.Α με ημερομηνία …………………... υπεβλήθη στη Γραμματεία του Ειδικού Λογαριασμού Κονδυλίων Έρευνας (ΕΛΚΕ) του Πολυτεχνείου Κρήτης – Α.Π. .……………)</w:t>
      </w:r>
    </w:p>
    <w:p w:rsidR="00755392" w:rsidRPr="00B73D3B" w:rsidRDefault="00755392" w:rsidP="00755392">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3. ΕΦΕΥΡΕΤΕΣ</w:t>
      </w:r>
    </w:p>
    <w:p w:rsidR="00755392" w:rsidRPr="00B73D3B" w:rsidRDefault="00755392" w:rsidP="00755392">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Σημειώσεις :</w:t>
      </w:r>
    </w:p>
    <w:p w:rsidR="00755392" w:rsidRPr="00B73D3B" w:rsidRDefault="00755392" w:rsidP="00755392">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Ως εφευρέτης θεωρείται κάθε άτομο –ερευνητής χωρίς την συνεισφορά του οποίου η εφεύρεση δεν θα μπορούσε να φθάσει στην παρούσα μορφή της. Οι εφευρέτες θα πρέπει να έχουν συνεισφέρει σε βασικά στοιχεία της εφεύρεσης είτε ατομικά είτε σε συνεργασία με άλλους, κατά την δημιουργία της εφεύρεσης ή κατά την πρακτική αξιοποίησή της.</w:t>
      </w:r>
    </w:p>
    <w:p w:rsidR="00755392" w:rsidRPr="00B73D3B" w:rsidRDefault="00755392" w:rsidP="00755392">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Παρακαλώ συμπληρώστε τα ονόματα όλων των εφευρετών.</w:t>
      </w:r>
    </w:p>
    <w:p w:rsidR="00755392" w:rsidRPr="00B73D3B" w:rsidRDefault="00755392" w:rsidP="00755392">
      <w:pPr>
        <w:spacing w:line="276" w:lineRule="auto"/>
        <w:jc w:val="both"/>
        <w:rPr>
          <w:rFonts w:cstheme="minorHAns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32"/>
        <w:gridCol w:w="1052"/>
        <w:gridCol w:w="1266"/>
        <w:gridCol w:w="1340"/>
        <w:gridCol w:w="1541"/>
      </w:tblGrid>
      <w:tr w:rsidR="00755392" w:rsidRPr="00B73D3B" w:rsidTr="005F5490">
        <w:tc>
          <w:tcPr>
            <w:tcW w:w="8402" w:type="dxa"/>
            <w:gridSpan w:val="6"/>
          </w:tcPr>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Συμπληρώστε όλους τους εφευρέτες σημειώνοντας και βασικό πρόσωπο επικοινωνίας.</w:t>
            </w:r>
          </w:p>
        </w:tc>
      </w:tr>
      <w:tr w:rsidR="00755392" w:rsidRPr="00B73D3B" w:rsidTr="005F5490">
        <w:tc>
          <w:tcPr>
            <w:tcW w:w="1594"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Εφευρέτης</w:t>
            </w:r>
          </w:p>
        </w:tc>
        <w:tc>
          <w:tcPr>
            <w:tcW w:w="1514"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roofErr w:type="spellStart"/>
            <w:r w:rsidRPr="00B73D3B">
              <w:rPr>
                <w:rFonts w:eastAsia="Garamond,Bold" w:cstheme="minorHAnsi"/>
                <w:b/>
                <w:bCs/>
                <w:sz w:val="24"/>
                <w:szCs w:val="24"/>
              </w:rPr>
              <w:t>Συνεφευρέτες</w:t>
            </w:r>
            <w:proofErr w:type="spellEnd"/>
            <w:r w:rsidRPr="00B73D3B">
              <w:rPr>
                <w:rFonts w:eastAsia="Garamond,Bold" w:cstheme="minorHAnsi"/>
                <w:b/>
                <w:bCs/>
                <w:sz w:val="24"/>
                <w:szCs w:val="24"/>
              </w:rPr>
              <w:t xml:space="preserve"> από Τρίτους φορείς</w:t>
            </w:r>
          </w:p>
        </w:tc>
        <w:tc>
          <w:tcPr>
            <w:tcW w:w="1077"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Θέση</w:t>
            </w:r>
          </w:p>
        </w:tc>
        <w:tc>
          <w:tcPr>
            <w:tcW w:w="1299"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Τμήμα</w:t>
            </w:r>
          </w:p>
        </w:tc>
        <w:tc>
          <w:tcPr>
            <w:tcW w:w="1367"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roofErr w:type="spellStart"/>
            <w:r w:rsidRPr="00B73D3B">
              <w:rPr>
                <w:rFonts w:eastAsia="Garamond,Bold" w:cstheme="minorHAnsi"/>
                <w:b/>
                <w:bCs/>
                <w:sz w:val="24"/>
                <w:szCs w:val="24"/>
              </w:rPr>
              <w:t>Τηλ</w:t>
            </w:r>
            <w:proofErr w:type="spellEnd"/>
            <w:r w:rsidRPr="00B73D3B">
              <w:rPr>
                <w:rFonts w:eastAsia="Garamond,Bold" w:cstheme="minorHAnsi"/>
                <w:b/>
                <w:bCs/>
                <w:sz w:val="24"/>
                <w:szCs w:val="24"/>
              </w:rPr>
              <w:t>/</w:t>
            </w:r>
            <w:proofErr w:type="spellStart"/>
            <w:r w:rsidRPr="00B73D3B">
              <w:rPr>
                <w:rFonts w:eastAsia="Garamond,Bold" w:cstheme="minorHAnsi"/>
                <w:b/>
                <w:bCs/>
                <w:sz w:val="24"/>
                <w:szCs w:val="24"/>
              </w:rPr>
              <w:t>Fax</w:t>
            </w:r>
            <w:proofErr w:type="spellEnd"/>
            <w:r w:rsidRPr="00B73D3B">
              <w:rPr>
                <w:rFonts w:eastAsia="Garamond,Bold" w:cstheme="minorHAnsi"/>
                <w:b/>
                <w:bCs/>
                <w:sz w:val="24"/>
                <w:szCs w:val="24"/>
              </w:rPr>
              <w:t xml:space="preserve"> </w:t>
            </w:r>
          </w:p>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e-</w:t>
            </w:r>
            <w:proofErr w:type="spellStart"/>
            <w:r w:rsidRPr="00B73D3B">
              <w:rPr>
                <w:rFonts w:eastAsia="Garamond,Bold" w:cstheme="minorHAnsi"/>
                <w:b/>
                <w:bCs/>
                <w:sz w:val="24"/>
                <w:szCs w:val="24"/>
              </w:rPr>
              <w:t>mail</w:t>
            </w:r>
            <w:proofErr w:type="spellEnd"/>
          </w:p>
        </w:tc>
        <w:tc>
          <w:tcPr>
            <w:tcW w:w="1551"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Ποσοστό συμμετοχής στην εφεύρεση</w:t>
            </w:r>
          </w:p>
        </w:tc>
      </w:tr>
      <w:tr w:rsidR="00755392" w:rsidRPr="00B73D3B" w:rsidTr="005F5490">
        <w:tc>
          <w:tcPr>
            <w:tcW w:w="1594"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514"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077"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299"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367"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551"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r>
      <w:tr w:rsidR="00755392" w:rsidRPr="00B73D3B" w:rsidTr="005F5490">
        <w:tc>
          <w:tcPr>
            <w:tcW w:w="1594"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514"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077"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299"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367"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551"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r>
      <w:tr w:rsidR="00755392" w:rsidRPr="00B73D3B" w:rsidTr="005F5490">
        <w:tc>
          <w:tcPr>
            <w:tcW w:w="1594"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514"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077"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299"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367"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c>
          <w:tcPr>
            <w:tcW w:w="1551" w:type="dxa"/>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p>
        </w:tc>
      </w:tr>
    </w:tbl>
    <w:p w:rsidR="00755392" w:rsidRPr="00B73D3B" w:rsidRDefault="00755392" w:rsidP="00755392">
      <w:pPr>
        <w:autoSpaceDE w:val="0"/>
        <w:autoSpaceDN w:val="0"/>
        <w:adjustRightInd w:val="0"/>
        <w:spacing w:after="0" w:line="276" w:lineRule="auto"/>
        <w:jc w:val="both"/>
        <w:rPr>
          <w:rFonts w:cstheme="minorHAnsi"/>
          <w:b/>
          <w:bCs/>
          <w:sz w:val="24"/>
          <w:szCs w:val="24"/>
        </w:rPr>
      </w:pPr>
    </w:p>
    <w:p w:rsidR="00755392" w:rsidRPr="00B73D3B" w:rsidRDefault="00755392" w:rsidP="00755392">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 xml:space="preserve">4. Όλοι οι εφευρέτες του ΠΚ και οι </w:t>
      </w:r>
      <w:proofErr w:type="spellStart"/>
      <w:r w:rsidRPr="00B73D3B">
        <w:rPr>
          <w:rFonts w:cstheme="minorHAnsi"/>
          <w:b/>
          <w:bCs/>
          <w:sz w:val="24"/>
          <w:szCs w:val="24"/>
        </w:rPr>
        <w:t>συνεφευρέτες</w:t>
      </w:r>
      <w:proofErr w:type="spellEnd"/>
      <w:r w:rsidRPr="00B73D3B">
        <w:rPr>
          <w:rFonts w:cstheme="minorHAnsi"/>
          <w:b/>
          <w:bCs/>
          <w:sz w:val="24"/>
          <w:szCs w:val="24"/>
        </w:rPr>
        <w:t xml:space="preserve"> […όνομα φορέα…….] συμφωνούν ότι η ανωτέρω εφεύρεση πραγματοποιήθηκε κατά την απασχόλησή τους στο ΠΚ και στον […όνομα φορέα…] με τη χρήση των υποδομών αυτού/ αυτών, αντίστοιχα. Συγκεκριμένα οι εφευρέτες του ΠΚ απασχολήθηκαν στο Εργαστήριο ………………………………..…………….……… στο πλαίσιο του έργου ………………………………………………………………………………………….. που διαχειρίζεται ο ΕΛΚΕ του ΠΚ με ΚΕ…………………. και Επιστημονικά Υπεύθυνο ………………………………………. </w:t>
      </w:r>
    </w:p>
    <w:p w:rsidR="00755392" w:rsidRPr="00B73D3B" w:rsidRDefault="00755392" w:rsidP="00755392">
      <w:pPr>
        <w:autoSpaceDE w:val="0"/>
        <w:autoSpaceDN w:val="0"/>
        <w:adjustRightInd w:val="0"/>
        <w:spacing w:after="0" w:line="276" w:lineRule="auto"/>
        <w:jc w:val="both"/>
        <w:rPr>
          <w:rFonts w:cstheme="minorHAnsi"/>
          <w:b/>
          <w:bCs/>
          <w:sz w:val="24"/>
          <w:szCs w:val="24"/>
        </w:rPr>
      </w:pPr>
    </w:p>
    <w:p w:rsidR="00755392" w:rsidRPr="00B73D3B" w:rsidRDefault="00755392" w:rsidP="00755392">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 xml:space="preserve">5. Οι </w:t>
      </w:r>
      <w:proofErr w:type="spellStart"/>
      <w:r w:rsidRPr="00B73D3B">
        <w:rPr>
          <w:rFonts w:cstheme="minorHAnsi"/>
          <w:b/>
          <w:bCs/>
          <w:sz w:val="24"/>
          <w:szCs w:val="24"/>
        </w:rPr>
        <w:t>Συνεφευρέτες</w:t>
      </w:r>
      <w:proofErr w:type="spellEnd"/>
      <w:r w:rsidRPr="00B73D3B">
        <w:rPr>
          <w:rFonts w:cstheme="minorHAnsi"/>
          <w:b/>
          <w:bCs/>
          <w:sz w:val="24"/>
          <w:szCs w:val="24"/>
        </w:rPr>
        <w:t xml:space="preserve"> και </w:t>
      </w:r>
      <w:proofErr w:type="spellStart"/>
      <w:r w:rsidRPr="00B73D3B">
        <w:rPr>
          <w:rFonts w:cstheme="minorHAnsi"/>
          <w:b/>
          <w:bCs/>
          <w:sz w:val="24"/>
          <w:szCs w:val="24"/>
        </w:rPr>
        <w:t>συνδικαιούχοι</w:t>
      </w:r>
      <w:proofErr w:type="spellEnd"/>
      <w:r w:rsidRPr="00B73D3B">
        <w:rPr>
          <w:rFonts w:cstheme="minorHAnsi"/>
          <w:b/>
          <w:bCs/>
          <w:sz w:val="24"/>
          <w:szCs w:val="24"/>
        </w:rPr>
        <w:t xml:space="preserve"> της εφεύρεσης συμφωνούν ότι η διαχείριση όποιων δικαιωμάτων προέλθουν από αυτήν υπόκειται στους κανονισμούς του Πολυτεχνείου Κρήτης σε θέματα Βιομηχανικής ιδιοκτησίας. Η έννοια «Διαχείριση» </w:t>
      </w:r>
      <w:r w:rsidRPr="00B73D3B">
        <w:rPr>
          <w:rFonts w:cstheme="minorHAnsi"/>
          <w:b/>
          <w:bCs/>
          <w:sz w:val="24"/>
          <w:szCs w:val="24"/>
        </w:rPr>
        <w:lastRenderedPageBreak/>
        <w:t>συμπεριλαμβάνει ενδεικτικά (χωρίς να περιορίζεται σε,) υποχρεώσεις διαχείρισης της προστασίας του δικαιώματος και διατήρησης αυτού, σχέσεις και διαδικασίες με φορείς, αναζήτηση χρηματοδότησης, αποφάσεις και διαπραγματεύσεις με οποιοδήποτε μέρος με σκοπό την εκμετάλλευση ή την περαιτέρω ανάπτυξη και εξέλιξη των δικαιωμάτων.</w:t>
      </w:r>
    </w:p>
    <w:p w:rsidR="00755392" w:rsidRPr="00B73D3B" w:rsidRDefault="00755392" w:rsidP="00755392">
      <w:pPr>
        <w:autoSpaceDE w:val="0"/>
        <w:autoSpaceDN w:val="0"/>
        <w:adjustRightInd w:val="0"/>
        <w:spacing w:after="0" w:line="276" w:lineRule="auto"/>
        <w:jc w:val="both"/>
        <w:rPr>
          <w:rFonts w:cstheme="minorHAnsi"/>
          <w:b/>
          <w:bCs/>
          <w:sz w:val="24"/>
          <w:szCs w:val="24"/>
        </w:rPr>
      </w:pPr>
    </w:p>
    <w:p w:rsidR="00755392" w:rsidRPr="00B73D3B" w:rsidRDefault="00755392" w:rsidP="00755392">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 xml:space="preserve">6. Οι </w:t>
      </w:r>
      <w:proofErr w:type="spellStart"/>
      <w:r w:rsidRPr="00B73D3B">
        <w:rPr>
          <w:rFonts w:cstheme="minorHAnsi"/>
          <w:b/>
          <w:bCs/>
          <w:sz w:val="24"/>
          <w:szCs w:val="24"/>
        </w:rPr>
        <w:t>Συνεφευρέτες</w:t>
      </w:r>
      <w:proofErr w:type="spellEnd"/>
      <w:r w:rsidRPr="00B73D3B">
        <w:rPr>
          <w:rFonts w:cstheme="minorHAnsi"/>
          <w:b/>
          <w:bCs/>
          <w:sz w:val="24"/>
          <w:szCs w:val="24"/>
        </w:rPr>
        <w:t xml:space="preserve"> εκπροσωπούνται πλήρως και ανεπιφύλακτα από τον Διαχειριστή (ΕΛΚΕ_ΠΚ) σε σχέση με την διαχείριση του δικαιώματος εκμετάλλευσης των δικαιωμάτων Βιομηχανικής ιδιοκτησίας της εφεύρεσης και τον εξουσιοδοτούν να προβεί σε αίτημα έκδοσης σχετικού Διπλώματος Ευρεσιτεχνίας (ΔΕ). Η ως άνω περιγραφόμενη διαχείριση του δικαιώματος αυτού από τον Διαχειριστή δεν έχει καμία επίπτωση στην κατάσταση των Εφευρετών του Δικαιώματος.</w:t>
      </w:r>
    </w:p>
    <w:p w:rsidR="00755392" w:rsidRPr="00B73D3B" w:rsidRDefault="00755392" w:rsidP="00755392">
      <w:pPr>
        <w:autoSpaceDE w:val="0"/>
        <w:autoSpaceDN w:val="0"/>
        <w:adjustRightInd w:val="0"/>
        <w:spacing w:after="0" w:line="276" w:lineRule="auto"/>
        <w:jc w:val="both"/>
        <w:rPr>
          <w:rFonts w:cstheme="minorHAnsi"/>
          <w:b/>
          <w:bCs/>
          <w:sz w:val="24"/>
          <w:szCs w:val="24"/>
        </w:rPr>
      </w:pPr>
    </w:p>
    <w:p w:rsidR="00755392" w:rsidRPr="00B73D3B" w:rsidRDefault="00755392" w:rsidP="00755392">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Δηλώνουμε ότι έχουμε συμφωνήσει στην υποβολή της αίτησης γνωστοποίησης της εφεύρεσης (έντυπο Παραρτήματος Ι.Α), καθώς και της αίτησης εκμετάλλευσης των δικαιωμάτων Βιομηχανικής ιδιοκτησίας, από τον Επιστημονικά Υπεύθυνο στον ΕΛΚΕ ΠΚ. Πιο συγκεκριμένα δηλώνουμε ότι συμφωνούμε στην υποβολή αιτήματος έκδοσης Διπλώματος Ευρεσιτεχνίας από τον ΕΛΚΕ ΠΚ στον Οργανισμό Βιομηχανικής Ιδιοκτησίας (*) ή στην κατάθεση Διεθνούς Διπλώματος Ευρεσιτεχνίας (*</w:t>
      </w:r>
      <w:r w:rsidRPr="00B73D3B">
        <w:rPr>
          <w:rStyle w:val="a4"/>
          <w:rFonts w:cstheme="minorHAnsi"/>
          <w:b/>
          <w:bCs/>
          <w:sz w:val="24"/>
          <w:szCs w:val="24"/>
        </w:rPr>
        <w:footnoteReference w:id="1"/>
      </w:r>
      <w:r w:rsidRPr="00B73D3B">
        <w:rPr>
          <w:rFonts w:cstheme="minorHAnsi"/>
          <w:b/>
          <w:bCs/>
          <w:sz w:val="24"/>
          <w:szCs w:val="24"/>
        </w:rPr>
        <w:t>).</w:t>
      </w:r>
    </w:p>
    <w:p w:rsidR="00755392" w:rsidRPr="00B73D3B" w:rsidRDefault="00755392" w:rsidP="00755392">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 xml:space="preserve">Δηλώνουμε ακόμη ότι αποδεχόμαστε την εφαρμογή των όρων του Εσωτερικού Κανονισμού Μεταφοράς Τεχνολογίας του ΠΚ και συμφωνούμε στην τήρηση των κανόνων εμπιστευτικότητας μέχρι την απόφαση έκδοσης ή μη του ΔΕ..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8"/>
        <w:gridCol w:w="4148"/>
      </w:tblGrid>
      <w:tr w:rsidR="00755392" w:rsidRPr="00B73D3B" w:rsidTr="005F5490">
        <w:tc>
          <w:tcPr>
            <w:tcW w:w="5000" w:type="pct"/>
            <w:gridSpan w:val="2"/>
          </w:tcPr>
          <w:p w:rsidR="00755392" w:rsidRPr="00B73D3B" w:rsidRDefault="00755392"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ΥΠΟΓΡΑΦΕΣ ΟΛΩΝ ΤΩΝ ΕΦΕΥΡΕΤΩΝ</w:t>
            </w:r>
          </w:p>
        </w:tc>
      </w:tr>
      <w:tr w:rsidR="00755392" w:rsidRPr="00B73D3B" w:rsidTr="005F5490">
        <w:tc>
          <w:tcPr>
            <w:tcW w:w="2500" w:type="pct"/>
          </w:tcPr>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Ονοματεπώνυμο:</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Ημερομηνία:</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Υπογραφή:</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cstheme="minorHAnsi"/>
                <w:sz w:val="24"/>
                <w:szCs w:val="24"/>
              </w:rPr>
            </w:pPr>
            <w:r w:rsidRPr="00B73D3B">
              <w:rPr>
                <w:rFonts w:cstheme="minorHAnsi"/>
                <w:sz w:val="24"/>
                <w:szCs w:val="24"/>
              </w:rPr>
              <w:t>Διεύθυνση κατοικίας:</w:t>
            </w:r>
          </w:p>
          <w:p w:rsidR="00755392" w:rsidRPr="00B73D3B" w:rsidRDefault="00755392" w:rsidP="005F5490">
            <w:pPr>
              <w:autoSpaceDE w:val="0"/>
              <w:autoSpaceDN w:val="0"/>
              <w:adjustRightInd w:val="0"/>
              <w:spacing w:after="0" w:line="276" w:lineRule="auto"/>
              <w:jc w:val="both"/>
              <w:rPr>
                <w:rFonts w:cstheme="minorHAnsi"/>
                <w:sz w:val="24"/>
                <w:szCs w:val="24"/>
              </w:rPr>
            </w:pPr>
          </w:p>
          <w:p w:rsidR="00755392" w:rsidRPr="00B73D3B" w:rsidRDefault="00755392" w:rsidP="005F5490">
            <w:pPr>
              <w:autoSpaceDE w:val="0"/>
              <w:autoSpaceDN w:val="0"/>
              <w:adjustRightInd w:val="0"/>
              <w:spacing w:after="0" w:line="276" w:lineRule="auto"/>
              <w:jc w:val="both"/>
              <w:rPr>
                <w:rFonts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cstheme="minorHAnsi"/>
                <w:sz w:val="24"/>
                <w:szCs w:val="24"/>
              </w:rPr>
              <w:lastRenderedPageBreak/>
              <w:t>Εθνικότητα : (χρειάζεται για αίτηση ΔΕ):</w:t>
            </w:r>
          </w:p>
        </w:tc>
        <w:tc>
          <w:tcPr>
            <w:tcW w:w="2500" w:type="pct"/>
          </w:tcPr>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Ονοματεπώνυμο:</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Ημερομηνία:</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Υπογραφή:</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cstheme="minorHAnsi"/>
                <w:sz w:val="24"/>
                <w:szCs w:val="24"/>
              </w:rPr>
            </w:pPr>
            <w:r w:rsidRPr="00B73D3B">
              <w:rPr>
                <w:rFonts w:cstheme="minorHAnsi"/>
                <w:sz w:val="24"/>
                <w:szCs w:val="24"/>
              </w:rPr>
              <w:t>Διεύθυνση κατοικίας:</w:t>
            </w:r>
          </w:p>
          <w:p w:rsidR="00755392" w:rsidRPr="00B73D3B" w:rsidRDefault="00755392" w:rsidP="005F5490">
            <w:pPr>
              <w:autoSpaceDE w:val="0"/>
              <w:autoSpaceDN w:val="0"/>
              <w:adjustRightInd w:val="0"/>
              <w:spacing w:after="0" w:line="276" w:lineRule="auto"/>
              <w:jc w:val="both"/>
              <w:rPr>
                <w:rFonts w:cstheme="minorHAnsi"/>
                <w:sz w:val="24"/>
                <w:szCs w:val="24"/>
              </w:rPr>
            </w:pPr>
          </w:p>
          <w:p w:rsidR="00755392" w:rsidRPr="00B73D3B" w:rsidRDefault="00755392" w:rsidP="005F5490">
            <w:pPr>
              <w:autoSpaceDE w:val="0"/>
              <w:autoSpaceDN w:val="0"/>
              <w:adjustRightInd w:val="0"/>
              <w:spacing w:after="0" w:line="276" w:lineRule="auto"/>
              <w:jc w:val="both"/>
              <w:rPr>
                <w:rFonts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cstheme="minorHAnsi"/>
                <w:sz w:val="24"/>
                <w:szCs w:val="24"/>
              </w:rPr>
              <w:lastRenderedPageBreak/>
              <w:t>Εθνικότητα : (χρειάζεται για αίτηση ΔΕ):</w:t>
            </w:r>
          </w:p>
        </w:tc>
      </w:tr>
      <w:tr w:rsidR="00755392" w:rsidRPr="00B73D3B" w:rsidTr="005F5490">
        <w:tc>
          <w:tcPr>
            <w:tcW w:w="2500" w:type="pct"/>
          </w:tcPr>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Ονοματεπώνυμο:</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Ημερομηνία:</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Υπογραφή:</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cstheme="minorHAnsi"/>
                <w:sz w:val="24"/>
                <w:szCs w:val="24"/>
              </w:rPr>
            </w:pPr>
            <w:r w:rsidRPr="00B73D3B">
              <w:rPr>
                <w:rFonts w:cstheme="minorHAnsi"/>
                <w:sz w:val="24"/>
                <w:szCs w:val="24"/>
              </w:rPr>
              <w:t>Διεύθυνση κατοικίας:</w:t>
            </w:r>
          </w:p>
          <w:p w:rsidR="00755392" w:rsidRPr="00B73D3B" w:rsidRDefault="00755392" w:rsidP="005F5490">
            <w:pPr>
              <w:autoSpaceDE w:val="0"/>
              <w:autoSpaceDN w:val="0"/>
              <w:adjustRightInd w:val="0"/>
              <w:spacing w:after="0" w:line="276" w:lineRule="auto"/>
              <w:jc w:val="both"/>
              <w:rPr>
                <w:rFonts w:cstheme="minorHAnsi"/>
                <w:sz w:val="24"/>
                <w:szCs w:val="24"/>
              </w:rPr>
            </w:pPr>
          </w:p>
          <w:p w:rsidR="00755392" w:rsidRPr="00B73D3B" w:rsidRDefault="00755392" w:rsidP="005F5490">
            <w:pPr>
              <w:autoSpaceDE w:val="0"/>
              <w:autoSpaceDN w:val="0"/>
              <w:adjustRightInd w:val="0"/>
              <w:spacing w:after="0" w:line="276" w:lineRule="auto"/>
              <w:jc w:val="both"/>
              <w:rPr>
                <w:rFonts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cstheme="minorHAnsi"/>
                <w:sz w:val="24"/>
                <w:szCs w:val="24"/>
              </w:rPr>
              <w:t>Εθνικότητα : (χρειάζεται για αίτηση ΔΕ):</w:t>
            </w:r>
          </w:p>
        </w:tc>
        <w:tc>
          <w:tcPr>
            <w:tcW w:w="2500" w:type="pct"/>
          </w:tcPr>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Ονοματεπώνυμο:</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Ημερομηνία:</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Υπογραφή:</w:t>
            </w: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p>
          <w:p w:rsidR="00755392" w:rsidRPr="00B73D3B" w:rsidRDefault="00755392" w:rsidP="005F5490">
            <w:pPr>
              <w:autoSpaceDE w:val="0"/>
              <w:autoSpaceDN w:val="0"/>
              <w:adjustRightInd w:val="0"/>
              <w:spacing w:after="0" w:line="276" w:lineRule="auto"/>
              <w:jc w:val="both"/>
              <w:rPr>
                <w:rFonts w:cstheme="minorHAnsi"/>
                <w:sz w:val="24"/>
                <w:szCs w:val="24"/>
              </w:rPr>
            </w:pPr>
            <w:r w:rsidRPr="00B73D3B">
              <w:rPr>
                <w:rFonts w:cstheme="minorHAnsi"/>
                <w:sz w:val="24"/>
                <w:szCs w:val="24"/>
              </w:rPr>
              <w:t>Διεύθυνση κατοικίας:</w:t>
            </w:r>
          </w:p>
          <w:p w:rsidR="00755392" w:rsidRPr="00B73D3B" w:rsidRDefault="00755392" w:rsidP="005F5490">
            <w:pPr>
              <w:autoSpaceDE w:val="0"/>
              <w:autoSpaceDN w:val="0"/>
              <w:adjustRightInd w:val="0"/>
              <w:spacing w:after="0" w:line="276" w:lineRule="auto"/>
              <w:jc w:val="both"/>
              <w:rPr>
                <w:rFonts w:cstheme="minorHAnsi"/>
                <w:sz w:val="24"/>
                <w:szCs w:val="24"/>
              </w:rPr>
            </w:pPr>
          </w:p>
          <w:p w:rsidR="00755392" w:rsidRPr="00B73D3B" w:rsidRDefault="00755392" w:rsidP="005F5490">
            <w:pPr>
              <w:autoSpaceDE w:val="0"/>
              <w:autoSpaceDN w:val="0"/>
              <w:adjustRightInd w:val="0"/>
              <w:spacing w:after="0" w:line="276" w:lineRule="auto"/>
              <w:jc w:val="both"/>
              <w:rPr>
                <w:rFonts w:cstheme="minorHAnsi"/>
                <w:sz w:val="24"/>
                <w:szCs w:val="24"/>
              </w:rPr>
            </w:pPr>
          </w:p>
          <w:p w:rsidR="00755392" w:rsidRPr="00B73D3B" w:rsidRDefault="00755392" w:rsidP="005F5490">
            <w:pPr>
              <w:autoSpaceDE w:val="0"/>
              <w:autoSpaceDN w:val="0"/>
              <w:adjustRightInd w:val="0"/>
              <w:spacing w:after="0" w:line="276" w:lineRule="auto"/>
              <w:jc w:val="both"/>
              <w:rPr>
                <w:rFonts w:eastAsia="Garamond,Bold" w:cstheme="minorHAnsi"/>
                <w:sz w:val="24"/>
                <w:szCs w:val="24"/>
              </w:rPr>
            </w:pPr>
            <w:r w:rsidRPr="00B73D3B">
              <w:rPr>
                <w:rFonts w:cstheme="minorHAnsi"/>
                <w:sz w:val="24"/>
                <w:szCs w:val="24"/>
              </w:rPr>
              <w:t>Εθνικότητα : (χρειάζεται για αίτηση ΔΕ):</w:t>
            </w:r>
          </w:p>
        </w:tc>
      </w:tr>
    </w:tbl>
    <w:p w:rsidR="00755392" w:rsidRPr="00B73D3B" w:rsidRDefault="00755392" w:rsidP="00755392">
      <w:pPr>
        <w:spacing w:line="276" w:lineRule="auto"/>
        <w:rPr>
          <w:rFonts w:cstheme="minorHAnsi"/>
          <w:sz w:val="24"/>
          <w:szCs w:val="24"/>
        </w:rPr>
      </w:pPr>
    </w:p>
    <w:p w:rsidR="00755392" w:rsidRPr="00B73D3B" w:rsidRDefault="00755392" w:rsidP="00755392">
      <w:pPr>
        <w:spacing w:line="276" w:lineRule="auto"/>
        <w:rPr>
          <w:rFonts w:cstheme="minorHAnsi"/>
          <w:sz w:val="24"/>
          <w:szCs w:val="24"/>
        </w:rPr>
      </w:pPr>
      <w:r w:rsidRPr="00B73D3B">
        <w:rPr>
          <w:rFonts w:cstheme="minorHAnsi"/>
          <w:sz w:val="24"/>
          <w:szCs w:val="24"/>
        </w:rPr>
        <w:br w:type="page"/>
      </w:r>
    </w:p>
    <w:p w:rsidR="00CF744F" w:rsidRDefault="00CF744F">
      <w:bookmarkStart w:id="1" w:name="_GoBack"/>
      <w:bookmarkEnd w:id="1"/>
    </w:p>
    <w:sectPr w:rsidR="00CF74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92" w:rsidRDefault="00755392" w:rsidP="00755392">
      <w:pPr>
        <w:spacing w:after="0" w:line="240" w:lineRule="auto"/>
      </w:pPr>
      <w:r>
        <w:separator/>
      </w:r>
    </w:p>
  </w:endnote>
  <w:endnote w:type="continuationSeparator" w:id="0">
    <w:p w:rsidR="00755392" w:rsidRDefault="00755392" w:rsidP="0075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Garamond,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92" w:rsidRDefault="00755392" w:rsidP="00755392">
      <w:pPr>
        <w:spacing w:after="0" w:line="240" w:lineRule="auto"/>
      </w:pPr>
      <w:r>
        <w:separator/>
      </w:r>
    </w:p>
  </w:footnote>
  <w:footnote w:type="continuationSeparator" w:id="0">
    <w:p w:rsidR="00755392" w:rsidRDefault="00755392" w:rsidP="00755392">
      <w:pPr>
        <w:spacing w:after="0" w:line="240" w:lineRule="auto"/>
      </w:pPr>
      <w:r>
        <w:continuationSeparator/>
      </w:r>
    </w:p>
  </w:footnote>
  <w:footnote w:id="1">
    <w:p w:rsidR="00755392" w:rsidRPr="009024BF" w:rsidRDefault="00755392" w:rsidP="00755392">
      <w:pPr>
        <w:pStyle w:val="a3"/>
        <w:rPr>
          <w:lang w:val="el-GR"/>
        </w:rPr>
      </w:pPr>
      <w:r>
        <w:rPr>
          <w:rStyle w:val="a4"/>
        </w:rPr>
        <w:footnoteRef/>
      </w:r>
      <w:r w:rsidRPr="009024BF">
        <w:rPr>
          <w:lang w:val="el-GR"/>
        </w:rPr>
        <w:t xml:space="preserve"> </w:t>
      </w:r>
      <w:r>
        <w:rPr>
          <w:lang w:val="el-GR"/>
        </w:rPr>
        <w:t>Επιλέγεται ένα εξ αυτών ή και τα δύο.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92"/>
    <w:rsid w:val="00755392"/>
    <w:rsid w:val="00CF74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94D6B-7314-4BBB-A0AC-B8FD9300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392"/>
  </w:style>
  <w:style w:type="paragraph" w:styleId="2">
    <w:name w:val="heading 2"/>
    <w:basedOn w:val="a"/>
    <w:next w:val="a"/>
    <w:link w:val="2Char"/>
    <w:uiPriority w:val="9"/>
    <w:unhideWhenUsed/>
    <w:qFormat/>
    <w:rsid w:val="0075539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55392"/>
    <w:rPr>
      <w:rFonts w:asciiTheme="majorHAnsi" w:eastAsiaTheme="majorEastAsia" w:hAnsiTheme="majorHAnsi" w:cstheme="majorBidi"/>
      <w:color w:val="2E74B5" w:themeColor="accent1" w:themeShade="BF"/>
      <w:sz w:val="26"/>
      <w:szCs w:val="26"/>
      <w:lang w:val="en-US"/>
    </w:rPr>
  </w:style>
  <w:style w:type="paragraph" w:styleId="a3">
    <w:name w:val="footnote text"/>
    <w:basedOn w:val="a"/>
    <w:link w:val="Char"/>
    <w:uiPriority w:val="99"/>
    <w:semiHidden/>
    <w:unhideWhenUsed/>
    <w:rsid w:val="00755392"/>
    <w:pPr>
      <w:spacing w:after="0" w:line="240" w:lineRule="auto"/>
    </w:pPr>
    <w:rPr>
      <w:rFonts w:ascii="Times New Roman" w:hAnsi="Times New Roman" w:cs="Times New Roman"/>
      <w:color w:val="000000"/>
      <w:sz w:val="20"/>
      <w:szCs w:val="20"/>
      <w:lang w:val="en-US"/>
    </w:rPr>
  </w:style>
  <w:style w:type="character" w:customStyle="1" w:styleId="Char">
    <w:name w:val="Κείμενο υποσημείωσης Char"/>
    <w:basedOn w:val="a0"/>
    <w:link w:val="a3"/>
    <w:uiPriority w:val="99"/>
    <w:semiHidden/>
    <w:rsid w:val="00755392"/>
    <w:rPr>
      <w:rFonts w:ascii="Times New Roman" w:hAnsi="Times New Roman" w:cs="Times New Roman"/>
      <w:color w:val="000000"/>
      <w:sz w:val="20"/>
      <w:szCs w:val="20"/>
      <w:lang w:val="en-US"/>
    </w:rPr>
  </w:style>
  <w:style w:type="character" w:styleId="a4">
    <w:name w:val="footnote reference"/>
    <w:basedOn w:val="a0"/>
    <w:uiPriority w:val="99"/>
    <w:semiHidden/>
    <w:unhideWhenUsed/>
    <w:rsid w:val="00755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3073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Καμπουράκη Ελευθερία</dc:creator>
  <cp:keywords/>
  <dc:description/>
  <cp:lastModifiedBy>Καμπουράκη Ελευθερία</cp:lastModifiedBy>
  <cp:revision>1</cp:revision>
  <dcterms:created xsi:type="dcterms:W3CDTF">2022-03-01T10:36:00Z</dcterms:created>
  <dcterms:modified xsi:type="dcterms:W3CDTF">2022-03-01T10:36:00Z</dcterms:modified>
</cp:coreProperties>
</file>