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4F4BE" w14:textId="77777777" w:rsidR="00331AC2" w:rsidRPr="00331AC2" w:rsidRDefault="00331AC2" w:rsidP="00331AC2">
      <w:pPr>
        <w:keepNext/>
        <w:pBdr>
          <w:top w:val="none" w:sz="0" w:space="0" w:color="000000"/>
          <w:left w:val="none" w:sz="0" w:space="0" w:color="000000"/>
          <w:bottom w:val="single" w:sz="12" w:space="1" w:color="000080"/>
          <w:right w:val="none" w:sz="0" w:space="0" w:color="000000"/>
        </w:pBdr>
        <w:tabs>
          <w:tab w:val="left" w:pos="567"/>
        </w:tabs>
        <w:suppressAutoHyphens/>
        <w:spacing w:before="240" w:after="80" w:line="240" w:lineRule="auto"/>
        <w:ind w:left="567" w:hanging="567"/>
        <w:jc w:val="both"/>
        <w:outlineLvl w:val="1"/>
        <w:rPr>
          <w:rFonts w:ascii="Arial" w:eastAsia="Times New Roman" w:hAnsi="Arial" w:cs="Arial"/>
          <w:b/>
          <w:color w:val="002060"/>
          <w:kern w:val="0"/>
          <w:szCs w:val="22"/>
          <w:lang w:eastAsia="ar-SA"/>
          <w14:ligatures w14:val="none"/>
        </w:rPr>
      </w:pPr>
      <w:bookmarkStart w:id="0" w:name="_Toc207797725"/>
      <w:bookmarkStart w:id="1" w:name="_Toc209172670"/>
      <w:r w:rsidRPr="00331AC2">
        <w:rPr>
          <w:rFonts w:ascii="Arial" w:eastAsia="Times New Roman" w:hAnsi="Arial" w:cs="Arial"/>
          <w:b/>
          <w:color w:val="002060"/>
          <w:kern w:val="0"/>
          <w:szCs w:val="22"/>
          <w:lang w:eastAsia="ar-SA"/>
          <w14:ligatures w14:val="none"/>
        </w:rPr>
        <w:t>ΠΑΡΑΡΤΗΜΑ Ζ’ – ΣΧΕΔΙΟ ΣΥΜΒΑΣΗΣ</w:t>
      </w:r>
      <w:bookmarkEnd w:id="0"/>
      <w:bookmarkEnd w:id="1"/>
    </w:p>
    <w:p w14:paraId="23AE0699" w14:textId="77777777" w:rsidR="00331AC2" w:rsidRPr="00331AC2" w:rsidRDefault="00331AC2" w:rsidP="00331AC2">
      <w:pPr>
        <w:suppressAutoHyphens/>
        <w:spacing w:after="0" w:line="240" w:lineRule="auto"/>
        <w:ind w:left="6480"/>
        <w:jc w:val="both"/>
        <w:rPr>
          <w:rFonts w:ascii="Calibri" w:eastAsia="Times New Roman" w:hAnsi="Calibri" w:cs="Calibri"/>
          <w:kern w:val="0"/>
          <w:lang w:eastAsia="el-GR"/>
          <w14:ligatures w14:val="none"/>
        </w:rPr>
      </w:pPr>
    </w:p>
    <w:p w14:paraId="663FF2CC" w14:textId="77777777" w:rsidR="00331AC2" w:rsidRPr="00331AC2" w:rsidRDefault="00331AC2" w:rsidP="00331AC2">
      <w:pPr>
        <w:suppressAutoHyphens/>
        <w:spacing w:after="0" w:line="240" w:lineRule="auto"/>
        <w:ind w:left="648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        ΑΝΑΡΤΗΤΕΑ ΣΤΟ ΚΗΜΔΗΣ</w:t>
      </w:r>
    </w:p>
    <w:p w14:paraId="3E52666F" w14:textId="77777777" w:rsidR="00331AC2" w:rsidRPr="00331AC2" w:rsidRDefault="00331AC2" w:rsidP="00331AC2">
      <w:pPr>
        <w:suppressAutoHyphens/>
        <w:spacing w:after="0" w:line="240" w:lineRule="auto"/>
        <w:jc w:val="right"/>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Αριθ. πρωτ.</w:t>
      </w:r>
      <w:r w:rsidRPr="00331AC2">
        <w:rPr>
          <w:rFonts w:ascii="Calibri" w:eastAsia="Times New Roman" w:hAnsi="Calibri" w:cs="Calibri"/>
          <w:kern w:val="0"/>
          <w:sz w:val="22"/>
          <w:lang w:eastAsia="ar-SA"/>
          <w14:ligatures w14:val="none"/>
        </w:rPr>
        <w:t xml:space="preserve"> </w:t>
      </w:r>
      <w:r w:rsidRPr="00331AC2">
        <w:rPr>
          <w:rFonts w:ascii="Calibri" w:eastAsia="Times New Roman" w:hAnsi="Calibri" w:cs="Calibri"/>
          <w:kern w:val="0"/>
          <w:lang w:eastAsia="el-GR"/>
          <w14:ligatures w14:val="none"/>
        </w:rPr>
        <w:t>……</w:t>
      </w:r>
    </w:p>
    <w:p w14:paraId="7A30807F" w14:textId="77777777" w:rsidR="00331AC2" w:rsidRPr="00331AC2" w:rsidRDefault="00331AC2" w:rsidP="00331AC2">
      <w:pPr>
        <w:suppressAutoHyphens/>
        <w:spacing w:after="0" w:line="240" w:lineRule="auto"/>
        <w:jc w:val="right"/>
        <w:rPr>
          <w:rFonts w:ascii="Calibri" w:eastAsia="Times New Roman" w:hAnsi="Calibri" w:cs="Calibri"/>
          <w:kern w:val="0"/>
          <w:lang w:eastAsia="el-GR"/>
          <w14:ligatures w14:val="none"/>
        </w:rPr>
      </w:pPr>
    </w:p>
    <w:p w14:paraId="31BE6F9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71CCAE07" w14:textId="77777777" w:rsidR="00331AC2" w:rsidRPr="00331AC2" w:rsidRDefault="00331AC2" w:rsidP="00331AC2">
      <w:pPr>
        <w:suppressAutoHyphens/>
        <w:spacing w:after="0" w:line="240" w:lineRule="auto"/>
        <w:jc w:val="center"/>
        <w:rPr>
          <w:rFonts w:ascii="Calibri" w:eastAsia="Times New Roman" w:hAnsi="Calibri" w:cs="Calibri"/>
          <w:b/>
          <w:color w:val="000000"/>
          <w:kern w:val="0"/>
          <w:lang w:eastAsia="el-GR"/>
          <w14:ligatures w14:val="none"/>
        </w:rPr>
      </w:pPr>
      <w:r w:rsidRPr="00331AC2">
        <w:rPr>
          <w:rFonts w:ascii="Calibri" w:eastAsia="Times New Roman" w:hAnsi="Calibri" w:cs="Calibri"/>
          <w:b/>
          <w:color w:val="000000"/>
          <w:kern w:val="0"/>
          <w:lang w:eastAsia="el-GR"/>
          <w14:ligatures w14:val="none"/>
        </w:rPr>
        <w:t>ΣΥΜΦΩΝΗΤΙΚΟ ΠΡΟΜΗΘΕΙΑΣ ΕΠΙΣΤΗΜΟΝΙΚΩΝ ΟΡΓΑΝΩΝ</w:t>
      </w:r>
    </w:p>
    <w:p w14:paraId="543D3422" w14:textId="77777777" w:rsidR="00331AC2" w:rsidRPr="00331AC2" w:rsidRDefault="00331AC2" w:rsidP="00331AC2">
      <w:pPr>
        <w:suppressAutoHyphens/>
        <w:spacing w:after="0" w:line="240" w:lineRule="auto"/>
        <w:jc w:val="center"/>
        <w:rPr>
          <w:rFonts w:ascii="Calibri" w:eastAsia="Times New Roman" w:hAnsi="Calibri" w:cs="Calibri"/>
          <w:b/>
          <w:color w:val="000000"/>
          <w:kern w:val="0"/>
          <w:lang w:eastAsia="el-GR"/>
          <w14:ligatures w14:val="none"/>
        </w:rPr>
      </w:pPr>
      <w:r w:rsidRPr="00331AC2">
        <w:rPr>
          <w:rFonts w:ascii="Calibri" w:eastAsia="Times New Roman" w:hAnsi="Calibri" w:cs="Calibri"/>
          <w:b/>
          <w:color w:val="000000"/>
          <w:kern w:val="0"/>
          <w:lang w:eastAsia="el-GR"/>
          <w14:ligatures w14:val="none"/>
        </w:rPr>
        <w:t>(στο πλαίσιο του με αρ. πρωτ. ΕΛΚΕ ………/...-...-2025 (ΣΑ 382154) ηλεκτρονικού διαγωνισμού άνω των ορίων)</w:t>
      </w:r>
    </w:p>
    <w:p w14:paraId="4B05E44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3C134F29" w14:textId="77777777" w:rsidR="00331AC2" w:rsidRPr="00331AC2" w:rsidRDefault="00331AC2" w:rsidP="00331AC2">
      <w:pPr>
        <w:suppressAutoHyphens/>
        <w:spacing w:after="0" w:line="360" w:lineRule="auto"/>
        <w:ind w:left="709" w:hanging="709"/>
        <w:jc w:val="both"/>
        <w:rPr>
          <w:rFonts w:ascii="Calibri" w:eastAsia="Times New Roman" w:hAnsi="Calibri" w:cs="Calibri"/>
          <w:b/>
          <w:bCs/>
          <w:kern w:val="0"/>
          <w:lang w:eastAsia="ar-SA"/>
          <w14:ligatures w14:val="none"/>
        </w:rPr>
      </w:pPr>
      <w:r w:rsidRPr="00331AC2">
        <w:rPr>
          <w:rFonts w:ascii="Calibri" w:eastAsia="Times New Roman" w:hAnsi="Calibri" w:cs="Calibri"/>
          <w:kern w:val="0"/>
          <w:lang w:eastAsia="ar-SA"/>
          <w14:ligatures w14:val="none"/>
        </w:rPr>
        <w:t xml:space="preserve">Στα Χανιά, </w:t>
      </w:r>
      <w:r w:rsidRPr="00331AC2">
        <w:rPr>
          <w:rFonts w:ascii="Calibri" w:eastAsia="Times New Roman" w:hAnsi="Calibri" w:cs="Calibri"/>
          <w:b/>
          <w:bCs/>
          <w:kern w:val="0"/>
          <w:lang w:eastAsia="ar-SA"/>
          <w14:ligatures w14:val="none"/>
        </w:rPr>
        <w:t xml:space="preserve">την …………… </w:t>
      </w:r>
      <w:r w:rsidRPr="00331AC2">
        <w:rPr>
          <w:rFonts w:ascii="Calibri" w:eastAsia="Times New Roman" w:hAnsi="Calibri" w:cs="Calibri"/>
          <w:kern w:val="0"/>
          <w:lang w:eastAsia="ar-SA"/>
          <w14:ligatures w14:val="none"/>
        </w:rPr>
        <w:t>οι κατωτέρω συμβαλλόμενοι:</w:t>
      </w:r>
    </w:p>
    <w:p w14:paraId="4BD0A9CA" w14:textId="77777777" w:rsidR="00331AC2" w:rsidRPr="00331AC2" w:rsidRDefault="00331AC2" w:rsidP="00331AC2">
      <w:pPr>
        <w:suppressAutoHyphens/>
        <w:autoSpaceDN w:val="0"/>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αφενός το «</w:t>
      </w:r>
      <w:r w:rsidRPr="00331AC2">
        <w:rPr>
          <w:rFonts w:ascii="Calibri" w:eastAsia="Times New Roman" w:hAnsi="Calibri" w:cs="Calibri"/>
          <w:b/>
          <w:bCs/>
          <w:kern w:val="0"/>
          <w:lang w:eastAsia="el-GR"/>
          <w14:ligatures w14:val="none"/>
        </w:rPr>
        <w:t>Πολυτεχνείο Κρήτης - Ειδικός Λογαριασμός Κονδυλίων Έρευνας</w:t>
      </w:r>
      <w:r w:rsidRPr="00331AC2">
        <w:rPr>
          <w:rFonts w:ascii="Calibri" w:eastAsia="Times New Roman" w:hAnsi="Calibri" w:cs="Calibri"/>
          <w:kern w:val="0"/>
          <w:lang w:eastAsia="el-GR"/>
          <w14:ligatures w14:val="none"/>
        </w:rPr>
        <w:t>», που εδρεύει στα Χανιά (κτήριο Ε4, Πολυτεχνειούπολη, Κουνουπιδιανά) και διέπεται από τις διατάξεις του ν. 4957/21-07-2022 (ΦΕΚ Α 141/21.7.2022), νομίμως εκπροσωπούμενο  από τον Αντιπρύτανη Έρευνας και Καινοτομίας κ. Κων/νο – Αλκέτα Ουγγρίνη του Γεωργίου, με Α.Φ.Μ. 090087411, Δ.Ο.Υ. Χανίων και κωδικό ηλεκτρονικής τιμολόγησης 1020.</w:t>
      </w:r>
      <w:r w:rsidRPr="00331AC2">
        <w:rPr>
          <w:rFonts w:ascii="Calibri" w:eastAsia="Times New Roman" w:hAnsi="Calibri" w:cs="Calibri"/>
          <w:kern w:val="0"/>
          <w:lang w:val="en-GB" w:eastAsia="el-GR"/>
          <w14:ligatures w14:val="none"/>
        </w:rPr>
        <w:t>E</w:t>
      </w:r>
      <w:r w:rsidRPr="00331AC2">
        <w:rPr>
          <w:rFonts w:ascii="Calibri" w:eastAsia="Times New Roman" w:hAnsi="Calibri" w:cs="Calibri"/>
          <w:kern w:val="0"/>
          <w:lang w:eastAsia="el-GR"/>
          <w14:ligatures w14:val="none"/>
        </w:rPr>
        <w:t xml:space="preserve">00685.0001 και ο </w:t>
      </w:r>
      <w:r w:rsidRPr="00331AC2">
        <w:rPr>
          <w:rFonts w:ascii="Calibri" w:eastAsia="Times New Roman" w:hAnsi="Calibri" w:cs="Calibri"/>
          <w:b/>
          <w:kern w:val="0"/>
          <w:lang w:eastAsia="el-GR"/>
          <w14:ligatures w14:val="none"/>
        </w:rPr>
        <w:t>επιστημονικά υπεύθυνος του έργου</w:t>
      </w:r>
      <w:r w:rsidRPr="00331AC2">
        <w:rPr>
          <w:rFonts w:ascii="Calibri" w:eastAsia="Times New Roman" w:hAnsi="Calibri" w:cs="Calibri"/>
          <w:kern w:val="0"/>
          <w:lang w:eastAsia="el-GR"/>
          <w14:ligatures w14:val="none"/>
        </w:rPr>
        <w:t xml:space="preserve"> με τίτλο «ΝΕΥΡι3Δ: Μηχανική μάθηση για σύνθεση διαδραστικών 3Δ μοντέλων», της συμφωνίας επιχορήγησης 101124742-NEURi3D, για τη δράση HORIZON-ERC / ERC-2023-CoG, η οποία συνήφθη μεταξύ του ΕΛΚΕ του Πολυτεχνείου Κρήτης (δικαιούχος και φορέας υλοποίησης του έργου), του European Research Council Executive Agency (ERCEA) (χορηγούσα αρχή) και του Ιδρύματος Τεχνολογίας και Έρευνας (ΙΤΕ) (κύριος ερευνητής), με επιστημονικά υπεύθυνο τον αναπληρωτή καθηγητή κ. Ευάγγελο Καλογεράκη και κωδικό έργου ΕΛΚΕ 83029  (στο εξής η «Αναθέτουσα Αρχή»)  </w:t>
      </w:r>
    </w:p>
    <w:p w14:paraId="1F0E98AE" w14:textId="77777777" w:rsidR="00331AC2" w:rsidRPr="00331AC2" w:rsidRDefault="00331AC2" w:rsidP="00331AC2">
      <w:pPr>
        <w:suppressAutoHyphens/>
        <w:autoSpaceDN w:val="0"/>
        <w:spacing w:after="0" w:line="240" w:lineRule="auto"/>
        <w:jc w:val="both"/>
        <w:rPr>
          <w:rFonts w:ascii="Calibri" w:eastAsia="Times New Roman" w:hAnsi="Calibri" w:cs="Calibri"/>
          <w:kern w:val="0"/>
          <w:highlight w:val="green"/>
          <w:lang w:eastAsia="el-GR"/>
          <w14:ligatures w14:val="none"/>
        </w:rPr>
      </w:pPr>
    </w:p>
    <w:p w14:paraId="0E040D14" w14:textId="77777777" w:rsidR="00331AC2" w:rsidRPr="00331AC2" w:rsidRDefault="00331AC2" w:rsidP="00331AC2">
      <w:pPr>
        <w:suppressAutoHyphens/>
        <w:autoSpaceDE w:val="0"/>
        <w:autoSpaceDN w:val="0"/>
        <w:adjustRightInd w:val="0"/>
        <w:spacing w:after="0" w:line="240" w:lineRule="auto"/>
        <w:jc w:val="both"/>
        <w:rPr>
          <w:rFonts w:ascii="Calibri" w:eastAsia="Times New Roman" w:hAnsi="Calibri" w:cs="Calibri"/>
          <w:b/>
          <w:bCs/>
          <w:kern w:val="0"/>
          <w:lang w:eastAsia="el-GR" w:bidi="he-IL"/>
          <w14:ligatures w14:val="none"/>
        </w:rPr>
      </w:pPr>
      <w:r w:rsidRPr="00331AC2">
        <w:rPr>
          <w:rFonts w:ascii="Calibri" w:eastAsia="Times New Roman" w:hAnsi="Calibri" w:cs="Calibri"/>
          <w:kern w:val="0"/>
          <w:lang w:eastAsia="el-GR"/>
          <w14:ligatures w14:val="none"/>
        </w:rPr>
        <w:t xml:space="preserve">και αφετέρου η </w:t>
      </w:r>
      <w:bookmarkStart w:id="2" w:name="_Hlk191369667"/>
      <w:r w:rsidRPr="00331AC2">
        <w:rPr>
          <w:rFonts w:ascii="Calibri" w:eastAsia="Times New Roman" w:hAnsi="Calibri" w:cs="Calibri"/>
          <w:kern w:val="0"/>
          <w:lang w:eastAsia="el-GR"/>
          <w14:ligatures w14:val="none"/>
        </w:rPr>
        <w:t xml:space="preserve">εταιρεία με την επωνυμία </w:t>
      </w:r>
      <w:bookmarkEnd w:id="2"/>
      <w:r w:rsidRPr="00331AC2">
        <w:rPr>
          <w:rFonts w:ascii="Calibri" w:eastAsia="Times New Roman" w:hAnsi="Calibri" w:cs="Calibri"/>
          <w:kern w:val="0"/>
          <w:lang w:eastAsia="el-GR"/>
          <w14:ligatures w14:val="none"/>
        </w:rPr>
        <w:t>«</w:t>
      </w:r>
      <w:bookmarkStart w:id="3" w:name="_Hlk207349704"/>
      <w:r w:rsidRPr="00331AC2">
        <w:rPr>
          <w:rFonts w:ascii="Calibri" w:eastAsia="Times New Roman" w:hAnsi="Calibri" w:cs="Calibri"/>
          <w:b/>
          <w:bCs/>
          <w:kern w:val="0"/>
          <w:lang w:eastAsia="el-GR" w:bidi="he-IL"/>
          <w14:ligatures w14:val="none"/>
        </w:rPr>
        <w:t>……………………….</w:t>
      </w:r>
      <w:bookmarkEnd w:id="3"/>
      <w:r w:rsidRPr="00331AC2">
        <w:rPr>
          <w:rFonts w:ascii="Calibri" w:eastAsia="Times New Roman" w:hAnsi="Calibri" w:cs="Calibri"/>
          <w:b/>
          <w:bCs/>
          <w:kern w:val="0"/>
          <w:lang w:eastAsia="el-GR" w:bidi="he-IL"/>
          <w14:ligatures w14:val="none"/>
        </w:rPr>
        <w:t xml:space="preserve">», </w:t>
      </w:r>
      <w:r w:rsidRPr="00331AC2">
        <w:rPr>
          <w:rFonts w:ascii="Calibri" w:eastAsia="Times New Roman" w:hAnsi="Calibri" w:cs="Calibri"/>
          <w:kern w:val="0"/>
          <w:lang w:eastAsia="el-GR" w:bidi="he-IL"/>
          <w14:ligatures w14:val="none"/>
        </w:rPr>
        <w:t xml:space="preserve">που εδρεύει στην </w:t>
      </w:r>
      <w:r w:rsidRPr="00331AC2">
        <w:rPr>
          <w:rFonts w:ascii="Calibri" w:eastAsia="Times New Roman" w:hAnsi="Calibri" w:cs="Calibri"/>
          <w:kern w:val="0"/>
          <w:lang w:eastAsia="el-GR"/>
          <w14:ligatures w14:val="none"/>
        </w:rPr>
        <w:t xml:space="preserve">Οδό …….. αρ…….., Τ.Κ. ……., …………, με ΑΦΜ: ……………………., ΔΟΥ: ………………………., νομίμως εκπροσωπούμενη από τον κ. ………………………. (στο εξής ο «Ανάδοχος»)  </w:t>
      </w:r>
    </w:p>
    <w:p w14:paraId="4C765EC7" w14:textId="77777777" w:rsidR="00331AC2" w:rsidRPr="00331AC2" w:rsidRDefault="00331AC2" w:rsidP="00331AC2">
      <w:pPr>
        <w:suppressAutoHyphens/>
        <w:autoSpaceDN w:val="0"/>
        <w:spacing w:after="0" w:line="240" w:lineRule="auto"/>
        <w:jc w:val="both"/>
        <w:rPr>
          <w:rFonts w:ascii="Calibri" w:eastAsia="Times New Roman" w:hAnsi="Calibri" w:cs="Calibri"/>
          <w:kern w:val="0"/>
          <w:highlight w:val="green"/>
          <w:lang w:eastAsia="el-GR"/>
          <w14:ligatures w14:val="none"/>
        </w:rPr>
      </w:pPr>
    </w:p>
    <w:p w14:paraId="741EE011" w14:textId="77777777" w:rsidR="00331AC2" w:rsidRPr="00331AC2" w:rsidRDefault="00331AC2" w:rsidP="00331AC2">
      <w:pPr>
        <w:suppressAutoHyphens/>
        <w:autoSpaceDN w:val="0"/>
        <w:spacing w:after="0" w:line="240"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Έχοντας υπόψη:</w:t>
      </w:r>
    </w:p>
    <w:p w14:paraId="5F86DBF8" w14:textId="77777777" w:rsidR="00331AC2" w:rsidRPr="00331AC2" w:rsidRDefault="00331AC2" w:rsidP="00331AC2">
      <w:pPr>
        <w:suppressAutoHyphens/>
        <w:spacing w:after="120" w:line="240"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1. την με αρ. πρωτ. ΕΛΚΕ ………/..-..-2025 διακήρυξη (ΑΔΑΜ: ………………………., συστημικός αριθμός Ε.Σ.Η.ΔΗ.Σ. - ΣΑ</w:t>
      </w:r>
      <w:r w:rsidRPr="00331AC2">
        <w:rPr>
          <w:rFonts w:ascii="Calibri" w:eastAsia="Times New Roman" w:hAnsi="Calibri" w:cs="Calibri"/>
          <w:bCs/>
          <w:kern w:val="0"/>
          <w:lang w:eastAsia="ar-SA"/>
          <w14:ligatures w14:val="none"/>
        </w:rPr>
        <w:t xml:space="preserve"> </w:t>
      </w:r>
      <w:r w:rsidRPr="00331AC2">
        <w:rPr>
          <w:rFonts w:ascii="Calibri" w:eastAsia="Times New Roman" w:hAnsi="Calibri" w:cs="Calibri"/>
          <w:bCs/>
          <w:color w:val="000000"/>
          <w:kern w:val="0"/>
          <w:lang w:eastAsia="el-GR"/>
          <w14:ligatures w14:val="none"/>
        </w:rPr>
        <w:t>376742)</w:t>
      </w:r>
      <w:r w:rsidRPr="00331AC2">
        <w:rPr>
          <w:rFonts w:ascii="Calibri" w:eastAsia="Times New Roman" w:hAnsi="Calibri" w:cs="Calibri"/>
          <w:b/>
          <w:color w:val="000000"/>
          <w:kern w:val="0"/>
          <w:lang w:eastAsia="el-GR"/>
          <w14:ligatures w14:val="none"/>
        </w:rPr>
        <w:t xml:space="preserve"> </w:t>
      </w:r>
      <w:r w:rsidRPr="00331AC2">
        <w:rPr>
          <w:rFonts w:ascii="Calibri" w:eastAsia="Times New Roman" w:hAnsi="Calibri" w:cs="Calibri"/>
          <w:kern w:val="0"/>
          <w:lang w:eastAsia="el-GR"/>
          <w14:ligatures w14:val="none"/>
        </w:rPr>
        <w:t xml:space="preserve">και τα λοιπά έγγραφα της σύμβασης που συνέταξε η </w:t>
      </w:r>
      <w:r w:rsidRPr="00331AC2">
        <w:rPr>
          <w:rFonts w:ascii="Calibri" w:eastAsia="Times New Roman" w:hAnsi="Calibri" w:cs="Calibri"/>
          <w:kern w:val="0"/>
          <w:lang w:eastAsia="ar-SA"/>
          <w14:ligatures w14:val="none"/>
        </w:rPr>
        <w:t>Αναθέτουσα Αρχή για την παρούσα σύμβαση προμήθειας.</w:t>
      </w:r>
    </w:p>
    <w:p w14:paraId="53B1933B" w14:textId="77777777" w:rsidR="00331AC2" w:rsidRPr="00331AC2" w:rsidRDefault="00331AC2" w:rsidP="00331AC2">
      <w:pPr>
        <w:suppressAutoHyphens/>
        <w:spacing w:after="120" w:line="240"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 xml:space="preserve">2. Την υπ΄ αριθμ  ……….. απόφαση της Αναθέτουσας Αρχής (αρ. Συνεδρίασης ………..) με την οποία κατακυρώθηκε το αποτέλεσμα της διαδικασίας (ΑΔΑΜ: </w:t>
      </w:r>
      <w:bookmarkStart w:id="4" w:name="_Hlk198731177"/>
      <w:r w:rsidRPr="00331AC2">
        <w:rPr>
          <w:rFonts w:ascii="Calibri" w:eastAsia="Times New Roman" w:hAnsi="Calibri" w:cs="Calibri"/>
          <w:kern w:val="0"/>
          <w:lang w:eastAsia="ar-SA"/>
          <w14:ligatures w14:val="none"/>
        </w:rPr>
        <w:t xml:space="preserve">………………………., ΑΔΑ: </w:t>
      </w:r>
      <w:bookmarkEnd w:id="4"/>
      <w:r w:rsidRPr="00331AC2">
        <w:rPr>
          <w:rFonts w:ascii="Calibri" w:eastAsia="Times New Roman" w:hAnsi="Calibri" w:cs="Calibri"/>
          <w:kern w:val="0"/>
          <w:lang w:eastAsia="ar-SA"/>
          <w14:ligatures w14:val="none"/>
        </w:rPr>
        <w:t>……………………….) στο πλαίσιο της ανωτέρω διακήρυξης, στον Ανάδοχο, καθώς και την αριθμ. πρωτ. …………, ΑΔΑ: ……………………….) επιστολή κατακύρωσης της Αναθέτουσας Αρχής προς τον Ανάδοχο, η οποία κοινοποιήθηκε σε αυτόν την ………… μέσω ΕΣΗΔΗΣ</w:t>
      </w:r>
    </w:p>
    <w:p w14:paraId="5E6A2BFA"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ar-SA"/>
          <w14:ligatures w14:val="none"/>
        </w:rPr>
        <w:lastRenderedPageBreak/>
        <w:t xml:space="preserve">3. Ότι </w:t>
      </w:r>
      <w:r w:rsidRPr="00331AC2">
        <w:rPr>
          <w:rFonts w:ascii="Calibri" w:eastAsia="Times New Roman" w:hAnsi="Calibri" w:cs="Calibri"/>
          <w:kern w:val="0"/>
          <w:lang w:eastAsia="el-GR"/>
          <w14:ligatures w14:val="none"/>
        </w:rPr>
        <w:t>αναπόσπαστο τμήμα της παρούσας αποτελούν, σύμφωνα με το άρθρο 2 παρ.1 περιπτ. 42 του ν.4412/2016:</w:t>
      </w:r>
    </w:p>
    <w:p w14:paraId="2A260517"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με αρ. πρωτ. ΕΛΚΕ ………/..-..-2025 διακήρυξη, με τα Παραρτήματα της</w:t>
      </w:r>
    </w:p>
    <w:p w14:paraId="0F9E1315" w14:textId="77777777" w:rsidR="00331AC2" w:rsidRPr="00331AC2" w:rsidRDefault="00331AC2" w:rsidP="00331AC2">
      <w:pPr>
        <w:suppressAutoHyphens/>
        <w:spacing w:after="120" w:line="240"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el-GR"/>
          <w14:ligatures w14:val="none"/>
        </w:rPr>
        <w:t>-η αρ. πρωτ. ΕΛΚΕ προσφορά έντυπου φακέλου ………… και αρ. πρωτ. ηλεκτρονικού φακέλου …………του Αναδόχου.</w:t>
      </w:r>
    </w:p>
    <w:p w14:paraId="3E4ECA4C"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bookmarkStart w:id="5" w:name="_Hlk198731275"/>
      <w:r w:rsidRPr="00331AC2">
        <w:rPr>
          <w:rFonts w:ascii="Calibri" w:eastAsia="Times New Roman" w:hAnsi="Calibri" w:cs="Calibri"/>
          <w:kern w:val="0"/>
          <w:lang w:eastAsia="ar-SA"/>
          <w14:ligatures w14:val="none"/>
        </w:rPr>
        <w:t xml:space="preserve">4. Ότι ο </w:t>
      </w:r>
      <w:r w:rsidRPr="00331AC2">
        <w:rPr>
          <w:rFonts w:ascii="Calibri" w:eastAsia="Times New Roman" w:hAnsi="Calibri" w:cs="Calibri"/>
          <w:kern w:val="0"/>
          <w:lang w:eastAsia="el-GR"/>
          <w14:ligatures w14:val="none"/>
        </w:rPr>
        <w:t>Ανάδοχος κατέθεσε την υπ’ αριθ. ………… εγγυητική επιστολή της ………………………. ποσού ………………………. (…………€), για την καλή εκτέλεση των όρων του παρόντος συμφωνητικού.</w:t>
      </w:r>
    </w:p>
    <w:bookmarkEnd w:id="5"/>
    <w:p w14:paraId="6FB38BE4" w14:textId="77777777" w:rsidR="00331AC2" w:rsidRPr="00331AC2" w:rsidRDefault="00331AC2" w:rsidP="00331AC2">
      <w:pPr>
        <w:suppressAutoHyphens/>
        <w:spacing w:after="120" w:line="240"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Συμφωνήθηκαν κι έγιναν αμοιβαίως αποδεκτά τα ακόλουθα :</w:t>
      </w:r>
    </w:p>
    <w:p w14:paraId="560A9234"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6E97AFC7"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1</w:t>
      </w:r>
    </w:p>
    <w:p w14:paraId="4C3F4BCB"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Αντικείμενο</w:t>
      </w:r>
    </w:p>
    <w:p w14:paraId="334B972B" w14:textId="77777777" w:rsidR="00331AC2" w:rsidRPr="00331AC2" w:rsidRDefault="00331AC2" w:rsidP="00331AC2">
      <w:pPr>
        <w:suppressAutoHyphens/>
        <w:spacing w:after="0" w:line="240" w:lineRule="auto"/>
        <w:jc w:val="center"/>
        <w:rPr>
          <w:rFonts w:ascii="Calibri" w:eastAsia="Times New Roman" w:hAnsi="Calibri" w:cs="Calibri"/>
          <w:kern w:val="0"/>
          <w:lang w:eastAsia="el-GR"/>
          <w14:ligatures w14:val="none"/>
        </w:rPr>
      </w:pPr>
    </w:p>
    <w:p w14:paraId="75F32017" w14:textId="77777777" w:rsidR="00331AC2" w:rsidRPr="00331AC2" w:rsidRDefault="00331AC2" w:rsidP="00331AC2">
      <w:pPr>
        <w:suppressAutoHyphens/>
        <w:spacing w:after="0" w:line="240" w:lineRule="auto"/>
        <w:jc w:val="both"/>
        <w:rPr>
          <w:rFonts w:ascii="Calibri" w:eastAsia="Times New Roman" w:hAnsi="Calibri" w:cs="Calibri"/>
          <w:b/>
          <w:bCs/>
          <w:kern w:val="0"/>
          <w:lang w:eastAsia="el-GR"/>
          <w14:ligatures w14:val="none"/>
        </w:rPr>
      </w:pPr>
      <w:r w:rsidRPr="00331AC2">
        <w:rPr>
          <w:rFonts w:ascii="Calibri" w:eastAsia="Times New Roman" w:hAnsi="Calibri" w:cs="Calibri"/>
          <w:kern w:val="0"/>
          <w:lang w:eastAsia="el-GR"/>
          <w14:ligatures w14:val="none"/>
        </w:rPr>
        <w:t xml:space="preserve">Αντικείμενο της παρούσας σύμβασης είναι η προμήθεια  εξοπλισμού και συγκεκριμένα για το </w:t>
      </w:r>
      <w:r w:rsidRPr="00331AC2">
        <w:rPr>
          <w:rFonts w:ascii="Calibri" w:eastAsia="Times New Roman" w:hAnsi="Calibri" w:cs="Calibri"/>
          <w:b/>
          <w:bCs/>
          <w:kern w:val="0"/>
          <w:lang w:eastAsia="el-GR"/>
          <w14:ligatures w14:val="none"/>
        </w:rPr>
        <w:t xml:space="preserve">« GPU server» </w:t>
      </w:r>
      <w:r w:rsidRPr="00331AC2">
        <w:rPr>
          <w:rFonts w:ascii="Calibri" w:eastAsia="Times New Roman" w:hAnsi="Calibri" w:cs="Calibri"/>
          <w:kern w:val="0"/>
          <w:lang w:eastAsia="el-GR"/>
          <w14:ligatures w14:val="none"/>
        </w:rPr>
        <w:t xml:space="preserve">του διαγωνισμού, σύμφωνα με τους όρους και τις προδιαγραφές της με αρ. πρωτ. ΕΛΚΕ ………/..-..-2025 διακήρυξης και των παραρτημάτων αυτής. </w:t>
      </w:r>
    </w:p>
    <w:p w14:paraId="0B22F989"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57CBB4E4"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προμήθεια θα πραγματοποιηθεί σύμφωνα με τους όρους που περιέχονται στα έγγραφα της σύμβασης, στην απόφαση κατακύρωσης και στην προσφορά του Αναδόχου.</w:t>
      </w:r>
    </w:p>
    <w:p w14:paraId="3CE76A8A"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14EF1690"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33415167"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2</w:t>
      </w:r>
    </w:p>
    <w:p w14:paraId="6BDCB402"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Χρηματοδότηση της σύμβασης</w:t>
      </w:r>
    </w:p>
    <w:p w14:paraId="0CF29788" w14:textId="77777777" w:rsidR="00331AC2" w:rsidRPr="00331AC2" w:rsidRDefault="00331AC2" w:rsidP="00331AC2">
      <w:pPr>
        <w:suppressAutoHyphens/>
        <w:spacing w:after="60" w:line="240" w:lineRule="auto"/>
        <w:jc w:val="both"/>
        <w:rPr>
          <w:rFonts w:ascii="Calibri" w:eastAsia="Times New Roman" w:hAnsi="Calibri" w:cs="Calibri"/>
          <w:kern w:val="0"/>
          <w:highlight w:val="green"/>
          <w:lang w:eastAsia="ar-SA"/>
          <w14:ligatures w14:val="none"/>
        </w:rPr>
      </w:pPr>
    </w:p>
    <w:p w14:paraId="51ABF7F9"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ar-SA"/>
          <w14:ligatures w14:val="none"/>
        </w:rPr>
      </w:pPr>
      <w:r w:rsidRPr="00331AC2">
        <w:rPr>
          <w:rFonts w:ascii="Calibri" w:eastAsia="Times New Roman" w:hAnsi="Calibri" w:cs="Calibri"/>
          <w:kern w:val="0"/>
          <w:lang w:eastAsia="ar-SA"/>
          <w14:ligatures w14:val="none"/>
        </w:rPr>
        <w:t xml:space="preserve">Η δαπάνη της σύμβασης  βαρύνει το έργο με τίτλο «ΝΕΥΡι3Δ: Μηχανική μάθηση για σύνθεση διαδραστικών 3Δ μοντέλων», της συμφωνίας επιχορήγησης 101124742-NEURi3D, για τη δράση HORIZON-ERC / ERC-2023-CoG, με Κωδικό Έργου ΕΛΚΕ 83029 και Επιστημονικό Υπεύθυνο τον αναπληρωτή καθηγητή της Σχολής Μηχανικών Παραγωγής και Διοίκησης του Πολυτεχνείου Κρήτης κ. Ευάγγελο Καλογεράκη. </w:t>
      </w:r>
    </w:p>
    <w:p w14:paraId="4D54F4CE" w14:textId="77777777" w:rsidR="00331AC2" w:rsidRPr="00331AC2" w:rsidRDefault="00331AC2" w:rsidP="00331AC2">
      <w:pPr>
        <w:suppressAutoHyphens/>
        <w:spacing w:after="0" w:line="240"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Η απόφαση που έχει εκδοθεί για την παρούσα διαδικασία και αποτελεί Ανάληψη Υποχρέωσης, έχει λάβει αρ. πρωτ. 30583/08-09-2025 (ΑΔΑ Ψ3ΠΧ469Β6Ν-Δ65) μεταξύ του European Research Council Executive Agency (ERCEA) και του ΕΙΔΙΚΟΥ ΛΟΓΑΡΙΑΣΜΟ</w:t>
      </w:r>
      <w:r w:rsidRPr="00331AC2">
        <w:rPr>
          <w:rFonts w:ascii="Calibri" w:eastAsia="Times New Roman" w:hAnsi="Calibri" w:cs="Calibri"/>
          <w:kern w:val="0"/>
          <w:lang w:val="en-GB" w:eastAsia="ar-SA"/>
          <w14:ligatures w14:val="none"/>
        </w:rPr>
        <w:t>Y</w:t>
      </w:r>
      <w:r w:rsidRPr="00331AC2">
        <w:rPr>
          <w:rFonts w:ascii="Calibri" w:eastAsia="Times New Roman" w:hAnsi="Calibri" w:cs="Calibri"/>
          <w:kern w:val="0"/>
          <w:lang w:eastAsia="ar-SA"/>
          <w14:ligatures w14:val="none"/>
        </w:rPr>
        <w:t xml:space="preserve"> ΚΟΝΔ</w:t>
      </w:r>
      <w:r w:rsidRPr="00331AC2">
        <w:rPr>
          <w:rFonts w:ascii="Calibri" w:eastAsia="Times New Roman" w:hAnsi="Calibri" w:cs="Calibri"/>
          <w:kern w:val="0"/>
          <w:lang w:val="en-GB" w:eastAsia="ar-SA"/>
          <w14:ligatures w14:val="none"/>
        </w:rPr>
        <w:t>Y</w:t>
      </w:r>
      <w:r w:rsidRPr="00331AC2">
        <w:rPr>
          <w:rFonts w:ascii="Calibri" w:eastAsia="Times New Roman" w:hAnsi="Calibri" w:cs="Calibri"/>
          <w:kern w:val="0"/>
          <w:lang w:eastAsia="ar-SA"/>
          <w14:ligatures w14:val="none"/>
        </w:rPr>
        <w:t>ΛΙΩΝ ΕΡΕΥΝΩΝ ΠΟΛΥΤΕΧΝΕΙΟΥ ΚΡΗΤΗΣ, στο πλαίσιο Υλοποίησης της πράξης με τίτλο «ΝΕΥΡι3Δ: Μηχανική μάθηση για σύνθεση διαδραστικών 3Δ μοντέλων».</w:t>
      </w:r>
    </w:p>
    <w:p w14:paraId="4F406B83" w14:textId="77777777" w:rsidR="00331AC2" w:rsidRPr="00331AC2" w:rsidRDefault="00331AC2" w:rsidP="00331AC2">
      <w:pPr>
        <w:suppressAutoHyphens/>
        <w:spacing w:after="0" w:line="240" w:lineRule="auto"/>
        <w:jc w:val="both"/>
        <w:rPr>
          <w:rFonts w:ascii="Calibri" w:eastAsia="Times New Roman" w:hAnsi="Calibri" w:cs="Calibri"/>
          <w:b/>
          <w:bCs/>
          <w:kern w:val="0"/>
          <w:lang w:eastAsia="el-GR"/>
          <w14:ligatures w14:val="none"/>
        </w:rPr>
      </w:pPr>
    </w:p>
    <w:p w14:paraId="756950E9"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3</w:t>
      </w:r>
    </w:p>
    <w:p w14:paraId="6451F00E"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Διάρκεια σύμβασης –Χρόνος Παράδοσης</w:t>
      </w:r>
    </w:p>
    <w:p w14:paraId="36733B34" w14:textId="77777777" w:rsidR="00331AC2" w:rsidRPr="00331AC2" w:rsidRDefault="00331AC2" w:rsidP="00331AC2">
      <w:pPr>
        <w:suppressAutoHyphens/>
        <w:spacing w:after="0" w:line="240" w:lineRule="auto"/>
        <w:jc w:val="center"/>
        <w:rPr>
          <w:rFonts w:ascii="Calibri" w:eastAsia="Times New Roman" w:hAnsi="Calibri" w:cs="Calibri"/>
          <w:kern w:val="0"/>
          <w:lang w:eastAsia="el-GR"/>
          <w14:ligatures w14:val="none"/>
        </w:rPr>
      </w:pPr>
    </w:p>
    <w:p w14:paraId="7DB305D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διάρκεια της σύμβασης ορίζεται , ως ακολούθως:</w:t>
      </w:r>
    </w:p>
    <w:p w14:paraId="57F4F688"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6BA293FF" w14:textId="77777777" w:rsidR="00331AC2" w:rsidRPr="00331AC2" w:rsidRDefault="00331AC2" w:rsidP="00331AC2">
      <w:pPr>
        <w:suppressAutoHyphens/>
        <w:spacing w:after="0" w:line="240" w:lineRule="auto"/>
        <w:ind w:left="360"/>
        <w:contextualSpacing/>
        <w:jc w:val="both"/>
        <w:rPr>
          <w:rFonts w:ascii="Calibri" w:eastAsia="Times New Roman" w:hAnsi="Calibri" w:cs="Calibri"/>
          <w:kern w:val="0"/>
          <w:lang w:eastAsia="el-GR"/>
          <w14:ligatures w14:val="none"/>
        </w:rPr>
      </w:pPr>
      <w:r w:rsidRPr="00331AC2">
        <w:rPr>
          <w:rFonts w:ascii="Calibri" w:eastAsia="Times New Roman" w:hAnsi="Calibri" w:cs="Calibri"/>
          <w:b/>
          <w:bCs/>
          <w:kern w:val="0"/>
          <w:lang w:eastAsia="el-GR"/>
          <w14:ligatures w14:val="none"/>
        </w:rPr>
        <w:lastRenderedPageBreak/>
        <w:t>«</w:t>
      </w:r>
      <w:r w:rsidRPr="00331AC2">
        <w:rPr>
          <w:rFonts w:ascii="Calibri" w:eastAsia="Times New Roman" w:hAnsi="Calibri" w:cs="Calibri"/>
          <w:b/>
          <w:bCs/>
          <w:kern w:val="0"/>
          <w:lang w:val="en-GB" w:eastAsia="el-GR"/>
          <w14:ligatures w14:val="none"/>
        </w:rPr>
        <w:t>GPU</w:t>
      </w:r>
      <w:r w:rsidRPr="00331AC2">
        <w:rPr>
          <w:rFonts w:ascii="Calibri" w:eastAsia="Times New Roman" w:hAnsi="Calibri" w:cs="Calibri"/>
          <w:b/>
          <w:bCs/>
          <w:kern w:val="0"/>
          <w:lang w:eastAsia="el-GR"/>
          <w14:ligatures w14:val="none"/>
        </w:rPr>
        <w:t xml:space="preserve"> </w:t>
      </w:r>
      <w:r w:rsidRPr="00331AC2">
        <w:rPr>
          <w:rFonts w:ascii="Calibri" w:eastAsia="Times New Roman" w:hAnsi="Calibri" w:cs="Calibri"/>
          <w:b/>
          <w:bCs/>
          <w:kern w:val="0"/>
          <w:lang w:val="en-GB" w:eastAsia="el-GR"/>
          <w14:ligatures w14:val="none"/>
        </w:rPr>
        <w:t>server</w:t>
      </w:r>
      <w:r w:rsidRPr="00331AC2">
        <w:rPr>
          <w:rFonts w:ascii="Calibri" w:eastAsia="Times New Roman" w:hAnsi="Calibri" w:cs="Calibri"/>
          <w:b/>
          <w:bCs/>
          <w:kern w:val="0"/>
          <w:lang w:eastAsia="el-GR"/>
          <w14:ligatures w14:val="none"/>
        </w:rPr>
        <w:t xml:space="preserve">», </w:t>
      </w:r>
      <w:r w:rsidRPr="00331AC2">
        <w:rPr>
          <w:rFonts w:ascii="Calibri" w:eastAsia="Times New Roman" w:hAnsi="Calibri" w:cs="Calibri"/>
          <w:kern w:val="0"/>
          <w:lang w:eastAsia="el-GR"/>
          <w14:ligatures w14:val="none"/>
        </w:rPr>
        <w:t>σε ενενήντα (90) ημέρες από την υπογραφή της σύμβασης, σύμφωνα με τους όρους της σχετικής διακήρυξης,  ήτοι από ………… (παρ. 1.3, 6.1 της διακήρυξης, «Παραλαβή ειδών-Χρόνος και τρόπος εκτέλεσης».</w:t>
      </w:r>
    </w:p>
    <w:p w14:paraId="5714A09C"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4D626DFE"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Μη εμπρόθεσμη παράδοση των υλικών από τον Ανάδοχο επάγεται την κήρυξη αυτής ως έκπτωτου σύμφωνα με το άρθρο 6.1.2 της Διακήρυξης</w:t>
      </w:r>
    </w:p>
    <w:p w14:paraId="542283A3"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4B20E04D"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4749CCE1" w14:textId="77777777" w:rsidR="00331AC2" w:rsidRPr="00331AC2" w:rsidRDefault="00331AC2" w:rsidP="00331AC2">
      <w:pPr>
        <w:suppressAutoHyphens/>
        <w:spacing w:after="0" w:line="240" w:lineRule="auto"/>
        <w:jc w:val="both"/>
        <w:rPr>
          <w:rFonts w:ascii="Calibri" w:eastAsia="Times New Roman" w:hAnsi="Calibri" w:cs="Calibri"/>
          <w:b/>
          <w:bCs/>
          <w:kern w:val="0"/>
          <w:lang w:eastAsia="el-GR"/>
          <w14:ligatures w14:val="none"/>
        </w:rPr>
      </w:pPr>
    </w:p>
    <w:p w14:paraId="7545A495"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4</w:t>
      </w:r>
    </w:p>
    <w:p w14:paraId="0BC7E7F6"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Υποχρεώσεις Αναδόχου</w:t>
      </w:r>
    </w:p>
    <w:p w14:paraId="0F1A775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056166E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Ο Ανάδοχος δεσμεύεται έναντι  της Αναθέτουσας Αρχής:</w:t>
      </w:r>
    </w:p>
    <w:p w14:paraId="04B57008"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3F979AA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Ότι σύμφωνα με το άρθρο 4.3.1. της με αρ. πρωτ. ΕΛΚΕ ………/..-..-2025 διακήρυξης, τηρεί και θα εξακολουθήσει να τηρεί κατά την εκτέλεση της παρούσας σύμβασης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Α’(και  του ν. 4412/2016).  Η τήρηση των εν λόγω υποχρεώσεων ελέγχεται και βεβαιώνεται από τα όργανα που επιβλέπουν την εκτέλεση της παρούσας σύμβασης και τις αρμόδιες δημόσιες αρχές και υπηρεσίες που ενεργούν εντός των ορίων της ευθύνης και της αρμοδιότητάς τους.</w:t>
      </w:r>
    </w:p>
    <w:p w14:paraId="3614D7E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58AB8D96"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Ότι θα ενεργεί σύμφωνα με τον  Νόμο και  την παρούσα, ότι θα  λαμβάνει τα κατάλληλα μέτρα για να διασφαλίσει την ομαλή και προσήκουσα εκτέλεση της παρούσας σύμφωνα με την με αρ. πρωτ. ΕΛΚΕ ………/..-..-2025 διακήρυξη και τα λοιπά Έγγραφα της Σύμβασης και ότι δεν θα ενεργήσει αθέμιτα, παράνομα ή καταχρηστικά καθ΄ όλη τη διάρκεια της εκτέλεσης της παρούσας, σύμφωνα με τη ρήτρα ακεραιότητας που επισυνάπτεται στην παρούσα και αποτελεί αναπόσπαστο τμήμα της. </w:t>
      </w:r>
    </w:p>
    <w:p w14:paraId="48639712"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Σύμφωνα με το άρθρο 4.3.2. της διακήρυξης, με δεδομένο ότι η παρούσα σύμβαση προμηθειών προϊόντων εμπίπτει στο πεδίο εφαρμογής του ν. 4819/2021, ο ανάδοχος υποχρεούται κατά την υπογραφή της σύμβασης και καθ’ όλη τη διάρκεια εκτέλεσης αυτής να τηρεί τις υποχρεώσεις των παραγράφων 1.4 και 1.5 του άρθρου 11 του ν. 4819/2021.</w:t>
      </w:r>
    </w:p>
    <w:p w14:paraId="2FA776B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τήρηση των υποχρεώσεων ελέγχθηκε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της παραγράφου 4 του άρθρου 105 του ν. 4412/2016.</w:t>
      </w:r>
    </w:p>
    <w:p w14:paraId="46830B66"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Ο αριθμός ΕΜΠΑ του υπόχρεου παραγωγού……είναι ο …….».</w:t>
      </w:r>
    </w:p>
    <w:p w14:paraId="2C59209F"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Καθ΄ όλη τη διάρκεια εκτέλεσης της σύμβασης, θα συνεργάζεται στενά με την Αναθέτουσα Αρχή,</w:t>
      </w:r>
    </w:p>
    <w:p w14:paraId="7245420F"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lastRenderedPageBreak/>
        <w:t>υποχρεούται δε να λαμβάνει υπόψη του οποιεσδήποτε παρατηρήσεις της σχετικά με την εκτέλεση της σύμβασης.</w:t>
      </w:r>
    </w:p>
    <w:p w14:paraId="66043288"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5</w:t>
      </w:r>
    </w:p>
    <w:p w14:paraId="4A1379A0"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Αμοιβή – Τρόπος πληρωμής</w:t>
      </w:r>
    </w:p>
    <w:p w14:paraId="682DD061"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40A01099" w14:textId="77777777" w:rsidR="00331AC2" w:rsidRPr="00331AC2" w:rsidRDefault="00331AC2" w:rsidP="00331AC2">
      <w:pPr>
        <w:widowControl w:val="0"/>
        <w:suppressAutoHyphens/>
        <w:spacing w:after="0" w:line="240" w:lineRule="auto"/>
        <w:jc w:val="both"/>
        <w:rPr>
          <w:rFonts w:ascii="Cambria" w:eastAsia="SimSun" w:hAnsi="Cambria" w:cs="Mangal"/>
          <w:color w:val="000000"/>
          <w:kern w:val="0"/>
          <w:lang w:eastAsia="hi-IN" w:bidi="he-IL"/>
          <w14:ligatures w14:val="none"/>
        </w:rPr>
      </w:pPr>
      <w:r w:rsidRPr="00331AC2">
        <w:rPr>
          <w:rFonts w:ascii="Cambria" w:eastAsia="Times New Roman" w:hAnsi="Cambria" w:cs="Mangal"/>
          <w:color w:val="000000"/>
          <w:kern w:val="0"/>
          <w:lang w:eastAsia="hi-IN" w:bidi="hi-IN"/>
          <w14:ligatures w14:val="none"/>
        </w:rPr>
        <w:t>5.1. Το συνολικό συμβατικό τίμημα ανέρχεται σε ποσό καθαρής αξίας……………………….ευρώ (</w:t>
      </w:r>
      <w:r w:rsidRPr="00331AC2">
        <w:rPr>
          <w:rFonts w:ascii="Cambria" w:eastAsia="SimSun" w:hAnsi="Cambria" w:cs="Mangal"/>
          <w:color w:val="000000"/>
          <w:kern w:val="0"/>
          <w:lang w:eastAsia="hi-IN" w:bidi="he-IL"/>
          <w14:ligatures w14:val="none"/>
        </w:rPr>
        <w:t>…………€</w:t>
      </w:r>
      <w:r w:rsidRPr="00331AC2">
        <w:rPr>
          <w:rFonts w:ascii="Cambria" w:eastAsia="Times New Roman" w:hAnsi="Cambria" w:cs="Mangal"/>
          <w:color w:val="000000"/>
          <w:kern w:val="0"/>
          <w:lang w:eastAsia="hi-IN" w:bidi="hi-IN"/>
          <w14:ligatures w14:val="none"/>
        </w:rPr>
        <w:t>), πλέον ΦΠΑ 24% ποσού ……………………….ευρώ (…………€), ήτοι σε ποσό ………………………. ευρώ (</w:t>
      </w:r>
      <w:r w:rsidRPr="00331AC2">
        <w:rPr>
          <w:rFonts w:ascii="Cambria" w:eastAsia="SimSun" w:hAnsi="Cambria" w:cs="Mangal"/>
          <w:color w:val="000000"/>
          <w:kern w:val="0"/>
          <w:lang w:eastAsia="hi-IN" w:bidi="he-IL"/>
          <w14:ligatures w14:val="none"/>
        </w:rPr>
        <w:t>…………</w:t>
      </w:r>
      <w:r w:rsidRPr="00331AC2">
        <w:rPr>
          <w:rFonts w:ascii="Cambria" w:eastAsia="Times New Roman" w:hAnsi="Cambria" w:cs="Mangal"/>
          <w:color w:val="000000"/>
          <w:kern w:val="0"/>
          <w:lang w:eastAsia="hi-IN" w:bidi="hi-IN"/>
          <w14:ligatures w14:val="none"/>
        </w:rPr>
        <w:t>€) συμπεριλαμβανομένου ΦΠΑ.</w:t>
      </w:r>
    </w:p>
    <w:p w14:paraId="57A9A4FB" w14:textId="77777777" w:rsidR="00331AC2" w:rsidRPr="00331AC2" w:rsidRDefault="00331AC2" w:rsidP="00331AC2">
      <w:pPr>
        <w:suppressAutoHyphens/>
        <w:spacing w:after="0" w:line="240" w:lineRule="auto"/>
        <w:jc w:val="both"/>
        <w:rPr>
          <w:rFonts w:ascii="Calibri" w:eastAsia="Times New Roman" w:hAnsi="Calibri" w:cs="Calibri"/>
          <w:i/>
          <w:color w:val="0070C0"/>
          <w:kern w:val="0"/>
          <w:lang w:eastAsia="el-GR"/>
          <w14:ligatures w14:val="none"/>
        </w:rPr>
      </w:pPr>
    </w:p>
    <w:p w14:paraId="222B2480"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πληρωμή του αναδόχου θα πραγματοποιηθεί με το 100% της συμβατικής αξίας εντός τριάντα (30) ημερών από την έκδοση του τιμολογίου, κατόπιν της οριστικής ποσοτικής και ποιοτικής παραλαβής του εξοπλισμού από την αρμόδια Επιτροπή Παραλαβής.</w:t>
      </w:r>
    </w:p>
    <w:p w14:paraId="6C240AE1"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3DC2456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5.2. Η πληρωμή του συμβατικού τιμήματος θα γίνεται με την προσκόμιση από τον Ανάδοχο των νόμιμων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r w:rsidRPr="00331AC2">
        <w:rPr>
          <w:rFonts w:ascii="Calibri" w:eastAsia="Times New Roman" w:hAnsi="Calibri" w:cs="Calibri"/>
          <w:kern w:val="0"/>
          <w:vertAlign w:val="superscript"/>
          <w:lang w:val="en-GB" w:eastAsia="el-GR"/>
          <w14:ligatures w14:val="none"/>
        </w:rPr>
        <w:footnoteReference w:id="1"/>
      </w:r>
      <w:r w:rsidRPr="00331AC2">
        <w:rPr>
          <w:rFonts w:ascii="Calibri" w:eastAsia="Times New Roman" w:hAnsi="Calibri" w:cs="Calibri"/>
          <w:kern w:val="0"/>
          <w:lang w:eastAsia="el-GR"/>
          <w14:ligatures w14:val="none"/>
        </w:rPr>
        <w:t xml:space="preserve">. </w:t>
      </w:r>
    </w:p>
    <w:p w14:paraId="60EDA7BB"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1848A1EE"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5.4. Τον Ανάδοχο βαρύνουν οι υπέρ τρίτων κρατήσεις, καθώς και κάθε άλλη επιβάρυνση, σύμφωνα με την κείμενη νομοθεσία, μη συμπεριλαμβανομένου Φ.Π.Α., για την παράδοση των  συμβατικών υλικών στον τόπο και με τον τρόπο που προβλέπονται στη διακήρυξη και στα λοιπά  έγγραφα της σύμβασης. Ο Ανάδοχος  βαρύνεται, ιδίως, με τις  κρατήσεις που καθορίζονται στο άρθρο 5.1.2 της διακήρυξης και συγκεκριμένα: </w:t>
      </w:r>
    </w:p>
    <w:p w14:paraId="3578D7A4"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α) Για τις συμβάσεις αξίας άνω των χιλίων (1.000) ευρώ, μη συμπεριλαμβανομένου ΦΠΑ, ανεξαρτήτως της πηγής προέλευσης της χρηματοδότησης, κράτηση ύψους 0,1%, η οποία υπολογίζεται επί της αξίας κάθε πληρωμής προ φόρων και κρατήσεων της αρχικής, καθώς και κάθε συμπληρωματικής σύμβασης υπέρ της Ενιαίας Αρχής Δημοσίων Συμβάσεων. </w:t>
      </w:r>
    </w:p>
    <w:p w14:paraId="77F5808C"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 Μέχρι την έκδοση της κοινής απόφασης της παρ. 6 του άρθρου 36 του ν. 4412/2016, η ως άνω κράτηση δεν επιβάλλεται</w:t>
      </w:r>
    </w:p>
    <w:p w14:paraId="20517020"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6F473970"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5.5. Με κάθε πληρωμή θα γίνεται η προβλεπόμενη από την κείμενη νομοθεσία παρακράτηση φόρου εισοδήματος αξίας 4% επί του καθαρού ποσού.</w:t>
      </w:r>
    </w:p>
    <w:p w14:paraId="1A737846"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5AD9CF33"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70EEB316" w14:textId="77777777" w:rsidR="00331AC2" w:rsidRPr="00331AC2" w:rsidRDefault="00331AC2" w:rsidP="00331AC2">
      <w:pPr>
        <w:suppressAutoHyphens/>
        <w:spacing w:after="120" w:line="240" w:lineRule="auto"/>
        <w:jc w:val="both"/>
        <w:rPr>
          <w:rFonts w:ascii="Calibri" w:eastAsia="Times New Roman" w:hAnsi="Calibri" w:cs="Calibri"/>
          <w:b/>
          <w:bCs/>
          <w:color w:val="000000"/>
          <w:kern w:val="0"/>
          <w:lang w:eastAsia="el-GR"/>
          <w14:ligatures w14:val="none"/>
        </w:rPr>
      </w:pPr>
      <w:r w:rsidRPr="00331AC2">
        <w:rPr>
          <w:rFonts w:ascii="Calibri" w:eastAsia="Times New Roman" w:hAnsi="Calibri" w:cs="Calibri"/>
          <w:b/>
          <w:bCs/>
          <w:kern w:val="0"/>
          <w:lang w:eastAsia="zh-CN"/>
          <w14:ligatures w14:val="none"/>
        </w:rPr>
        <w:t>Υποχρεωτική ηλεκτρονική τιμολόγηση:</w:t>
      </w:r>
    </w:p>
    <w:p w14:paraId="105951D9" w14:textId="77777777" w:rsidR="00331AC2" w:rsidRPr="00331AC2" w:rsidRDefault="00331AC2" w:rsidP="00331AC2">
      <w:pPr>
        <w:suppressAutoHyphens/>
        <w:spacing w:after="120" w:line="240" w:lineRule="auto"/>
        <w:jc w:val="both"/>
        <w:rPr>
          <w:rFonts w:ascii="Calibri" w:eastAsia="Times New Roman" w:hAnsi="Calibri" w:cs="Calibri"/>
          <w:kern w:val="0"/>
          <w:lang w:eastAsia="zh-CN"/>
          <w14:ligatures w14:val="none"/>
        </w:rPr>
      </w:pPr>
      <w:r w:rsidRPr="00331AC2">
        <w:rPr>
          <w:rFonts w:ascii="Calibri" w:eastAsia="Times New Roman" w:hAnsi="Calibri" w:cs="Calibri"/>
          <w:kern w:val="0"/>
          <w:lang w:eastAsia="zh-CN"/>
          <w14:ligatures w14:val="none"/>
        </w:rPr>
        <w:t>Σύμφωνα με την υπ΄ αριθμ. 52445 ΕΞ2023/4-4-2023 ΚΥΑ (ΦΕΚ τεύχος Β’/2385/12-4-2023 (Α.Δ.Α.:97</w:t>
      </w:r>
      <w:r w:rsidRPr="00331AC2">
        <w:rPr>
          <w:rFonts w:ascii="Calibri" w:eastAsia="Times New Roman" w:hAnsi="Calibri" w:cs="Calibri"/>
          <w:kern w:val="0"/>
          <w:lang w:val="en-GB" w:eastAsia="zh-CN"/>
          <w14:ligatures w14:val="none"/>
        </w:rPr>
        <w:t>K</w:t>
      </w:r>
      <w:r w:rsidRPr="00331AC2">
        <w:rPr>
          <w:rFonts w:ascii="Calibri" w:eastAsia="Times New Roman" w:hAnsi="Calibri" w:cs="Calibri"/>
          <w:kern w:val="0"/>
          <w:lang w:eastAsia="zh-CN"/>
          <w14:ligatures w14:val="none"/>
        </w:rPr>
        <w:t>8</w:t>
      </w:r>
      <w:r w:rsidRPr="00331AC2">
        <w:rPr>
          <w:rFonts w:ascii="Calibri" w:eastAsia="Times New Roman" w:hAnsi="Calibri" w:cs="Calibri"/>
          <w:kern w:val="0"/>
          <w:lang w:val="en-GB" w:eastAsia="zh-CN"/>
          <w14:ligatures w14:val="none"/>
        </w:rPr>
        <w:t>HH</w:t>
      </w:r>
      <w:r w:rsidRPr="00331AC2">
        <w:rPr>
          <w:rFonts w:ascii="Calibri" w:eastAsia="Times New Roman" w:hAnsi="Calibri" w:cs="Calibri"/>
          <w:kern w:val="0"/>
          <w:lang w:eastAsia="zh-CN"/>
          <w14:ligatures w14:val="none"/>
        </w:rPr>
        <w:t xml:space="preserve">5) με διόρθωση σφαλ. στο ΦΕΚ Β.3061/9-5-2023, την υπ΄ αριθμ. 78366 ΕΞ 2023/19.05.2023 Εγκύκλιο του Υπουργείου Οικονομικών (ΑΔΑ: 6ΑΒΡΗ-Ι08) και τις λοιπές εκδοθείσες εγκυκλίους, για δαπάνες σε εκτέλεση συμβάσεων των ν.3978/2011, ν.4412/2016 και ν.4413/2016 οι διαδικασίες σύναψης των οποίων εκκινούν μετά τις 01.06.2024 από λοιπές αναθέτουσες αρχές πλην Κεντρικής Διοίκησης (άρθρο 1, παρ.2γ της ΚΥΑ.), </w:t>
      </w:r>
      <w:r w:rsidRPr="00331AC2">
        <w:rPr>
          <w:rFonts w:ascii="Calibri" w:eastAsia="Times New Roman" w:hAnsi="Calibri" w:cs="Calibri"/>
          <w:b/>
          <w:bCs/>
          <w:kern w:val="0"/>
          <w:lang w:eastAsia="zh-CN"/>
          <w14:ligatures w14:val="none"/>
        </w:rPr>
        <w:t>απαιτείται η υποβολή Ηλεκτρονικού Τιμολογίου (ΗΤ)</w:t>
      </w:r>
      <w:r w:rsidRPr="00331AC2">
        <w:rPr>
          <w:rFonts w:ascii="Calibri" w:eastAsia="Times New Roman" w:hAnsi="Calibri" w:cs="Calibri"/>
          <w:kern w:val="0"/>
          <w:lang w:eastAsia="zh-CN"/>
          <w14:ligatures w14:val="none"/>
        </w:rPr>
        <w:t xml:space="preserve">. </w:t>
      </w:r>
    </w:p>
    <w:p w14:paraId="4DA5B93D" w14:textId="77777777" w:rsidR="00331AC2" w:rsidRPr="00331AC2" w:rsidRDefault="00331AC2" w:rsidP="00331AC2">
      <w:pPr>
        <w:suppressAutoHyphens/>
        <w:spacing w:after="120" w:line="240" w:lineRule="auto"/>
        <w:jc w:val="both"/>
        <w:rPr>
          <w:rFonts w:ascii="Calibri" w:eastAsia="Times New Roman" w:hAnsi="Calibri" w:cs="Calibri"/>
          <w:kern w:val="0"/>
          <w:lang w:eastAsia="zh-CN"/>
          <w14:ligatures w14:val="none"/>
        </w:rPr>
      </w:pPr>
      <w:r w:rsidRPr="00331AC2">
        <w:rPr>
          <w:rFonts w:ascii="Calibri" w:eastAsia="Times New Roman" w:hAnsi="Calibri" w:cs="Calibri"/>
          <w:kern w:val="0"/>
          <w:lang w:eastAsia="zh-CN"/>
          <w14:ligatures w14:val="none"/>
        </w:rPr>
        <w:t xml:space="preserve">Για την υποβολή ηλεκτρονικού τιμολογίου, ο ανάδοχος συμπληρώνει στο πεδίο </w:t>
      </w:r>
      <w:r w:rsidRPr="00331AC2">
        <w:rPr>
          <w:rFonts w:ascii="Calibri" w:eastAsia="Times New Roman" w:hAnsi="Calibri" w:cs="Calibri"/>
          <w:kern w:val="0"/>
          <w:lang w:val="en-GB" w:eastAsia="zh-CN"/>
          <w14:ligatures w14:val="none"/>
        </w:rPr>
        <w:t>BT</w:t>
      </w:r>
      <w:r w:rsidRPr="00331AC2">
        <w:rPr>
          <w:rFonts w:ascii="Calibri" w:eastAsia="Times New Roman" w:hAnsi="Calibri" w:cs="Calibri"/>
          <w:kern w:val="0"/>
          <w:lang w:eastAsia="zh-CN"/>
          <w14:ligatures w14:val="none"/>
        </w:rPr>
        <w:t>-11: Στοιχείο αναφοράς αγαθού του Εθνικού Μορφότυπου Ηλεκτρονικού Τιμολογίου: Τον ΑΔΑ της απόφασης ανάληψης υποχρέωσης της σύμβασης.</w:t>
      </w:r>
    </w:p>
    <w:p w14:paraId="69C036F8" w14:textId="77777777" w:rsidR="00331AC2" w:rsidRPr="00331AC2" w:rsidRDefault="00331AC2" w:rsidP="00331AC2">
      <w:pPr>
        <w:suppressAutoHyphens/>
        <w:spacing w:after="120" w:line="240" w:lineRule="auto"/>
        <w:jc w:val="both"/>
        <w:rPr>
          <w:rFonts w:ascii="Calibri" w:eastAsia="Times New Roman" w:hAnsi="Calibri" w:cs="Calibri"/>
          <w:b/>
          <w:bCs/>
          <w:color w:val="000000"/>
          <w:kern w:val="0"/>
          <w:lang w:eastAsia="el-GR"/>
          <w14:ligatures w14:val="none"/>
        </w:rPr>
      </w:pPr>
      <w:r w:rsidRPr="00331AC2">
        <w:rPr>
          <w:rFonts w:ascii="Calibri" w:eastAsia="Times New Roman" w:hAnsi="Calibri" w:cs="Calibri"/>
          <w:b/>
          <w:bCs/>
          <w:color w:val="000000"/>
          <w:kern w:val="0"/>
          <w:lang w:eastAsia="el-GR"/>
          <w14:ligatures w14:val="none"/>
        </w:rPr>
        <w:t>Κωδικός ΑΑΗΤ ΕΙΔΙΚΟΣ ΛΟΓΑΡΙΑΣΜΟΣ ΚΟΝΔΥΛΙΩΝ ΕΡΕΥΝΑΣ-ΠΟΛΥΤΕΧΝΕΙΟΥ ΚΡΗΤΗΣ: 1020.</w:t>
      </w:r>
      <w:r w:rsidRPr="00331AC2">
        <w:rPr>
          <w:rFonts w:ascii="Calibri" w:eastAsia="Times New Roman" w:hAnsi="Calibri" w:cs="Calibri"/>
          <w:b/>
          <w:bCs/>
          <w:color w:val="000000"/>
          <w:kern w:val="0"/>
          <w:lang w:val="en-US" w:eastAsia="el-GR"/>
          <w14:ligatures w14:val="none"/>
        </w:rPr>
        <w:t>E</w:t>
      </w:r>
      <w:r w:rsidRPr="00331AC2">
        <w:rPr>
          <w:rFonts w:ascii="Calibri" w:eastAsia="Times New Roman" w:hAnsi="Calibri" w:cs="Calibri"/>
          <w:b/>
          <w:bCs/>
          <w:color w:val="000000"/>
          <w:kern w:val="0"/>
          <w:lang w:eastAsia="el-GR"/>
          <w14:ligatures w14:val="none"/>
        </w:rPr>
        <w:t>00685.0001</w:t>
      </w:r>
    </w:p>
    <w:p w14:paraId="0E09B1D2" w14:textId="77777777" w:rsidR="00331AC2" w:rsidRPr="00331AC2" w:rsidRDefault="00331AC2" w:rsidP="00331AC2">
      <w:pPr>
        <w:suppressAutoHyphens/>
        <w:spacing w:after="0" w:line="240" w:lineRule="auto"/>
        <w:jc w:val="center"/>
        <w:rPr>
          <w:rFonts w:ascii="Calibri" w:eastAsia="Times New Roman" w:hAnsi="Calibri" w:cs="Calibri"/>
          <w:b/>
          <w:bCs/>
          <w:kern w:val="0"/>
          <w:highlight w:val="green"/>
          <w:lang w:eastAsia="el-GR"/>
          <w14:ligatures w14:val="none"/>
        </w:rPr>
      </w:pPr>
    </w:p>
    <w:p w14:paraId="24F78415" w14:textId="77777777" w:rsidR="00331AC2" w:rsidRPr="00331AC2" w:rsidRDefault="00331AC2" w:rsidP="00331AC2">
      <w:pPr>
        <w:suppressAutoHyphens/>
        <w:spacing w:after="0" w:line="240" w:lineRule="auto"/>
        <w:jc w:val="center"/>
        <w:rPr>
          <w:rFonts w:ascii="Calibri" w:eastAsia="Times New Roman" w:hAnsi="Calibri" w:cs="Calibri"/>
          <w:b/>
          <w:bCs/>
          <w:kern w:val="0"/>
          <w:highlight w:val="green"/>
          <w:lang w:eastAsia="el-GR"/>
          <w14:ligatures w14:val="none"/>
        </w:rPr>
      </w:pPr>
    </w:p>
    <w:p w14:paraId="4692D559"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6</w:t>
      </w:r>
    </w:p>
    <w:p w14:paraId="0A0F8842"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 xml:space="preserve">Χρόνος Παράδοσης Υλικών-Παραλαβή υλικών - </w:t>
      </w:r>
      <w:r w:rsidRPr="00331AC2">
        <w:rPr>
          <w:rFonts w:ascii="Calibri" w:eastAsia="Times New Roman" w:hAnsi="Calibri" w:cs="Calibri"/>
          <w:b/>
          <w:bCs/>
          <w:kern w:val="0"/>
          <w:lang w:eastAsia="el-GR"/>
          <w14:ligatures w14:val="none"/>
        </w:rPr>
        <w:br/>
        <w:t xml:space="preserve">Χρόνος και τρόπος παραλαβής υλικών </w:t>
      </w:r>
    </w:p>
    <w:p w14:paraId="10EB060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2353CB6F"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6.1 Ο Ανάδοχος υποχρεούται να παραδώσει τα υλικά στον χρόνο, τον τόπο και με τον  τρόπο   που καθορίζονται στα άρθρα 6.1. και 6.2.  της Διακήρυξης.</w:t>
      </w:r>
    </w:p>
    <w:p w14:paraId="60B02954"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Συγκεκριμένα, ο χρόνος παράδοσης το υπό προμήθεια είδος ορίζεται σε ενενήντα (90) ημέρες από την ημερομηνία υπογραφής της σύμβασης σύμφωνα με τους όρους της σχετικής διακήρυξης.</w:t>
      </w:r>
    </w:p>
    <w:p w14:paraId="612E6AB5"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4CC090DF" w14:textId="77777777" w:rsidR="00331AC2" w:rsidRPr="00331AC2" w:rsidRDefault="00331AC2" w:rsidP="00331AC2">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331AC2">
        <w:rPr>
          <w:rFonts w:ascii="Calibri" w:eastAsia="Times New Roman" w:hAnsi="Calibri" w:cs="Calibri"/>
          <w:color w:val="000000"/>
          <w:kern w:val="0"/>
          <w:lang w:eastAsia="hi-IN" w:bidi="hi-IN"/>
          <w14:ligatures w14:val="none"/>
        </w:rPr>
        <w:t>Ως τόπος παράδοσης ορίζεται το σύμβασης (Τόπος παράδοσης – Παραλήπτης: Ο εξοπλισμός θα παραδοθεί και θα τιμολογηθεί στον Ειδικό Λογαριασμό Κονδυλίων Έρευνας του Πολυτεχνείου Κρήτης, ο οποίος είναι ο Δικαιούχος και Φορέας Υλοποίησης του έργου. Τόπος εγκατάστασης – Φιλοξενίας: Μετά την παράδοση, ο εξοπλισμός θα εγκατασταθεί και θα λειτουργήσει στις εγκαταστάσεις του Ιδρύματος Τεχνολογίας και Έρευνας (ΙΤΕ), Ηράκλειο Κρήτης, στο πλαίσιο της συνεργασίας που προβλέπεται από το έργο NEURi3D.)</w:t>
      </w:r>
    </w:p>
    <w:p w14:paraId="1282A32A" w14:textId="77777777" w:rsidR="00331AC2" w:rsidRPr="00331AC2" w:rsidRDefault="00331AC2" w:rsidP="00331AC2">
      <w:pPr>
        <w:widowControl w:val="0"/>
        <w:suppressAutoHyphens/>
        <w:spacing w:after="0" w:line="240" w:lineRule="auto"/>
        <w:jc w:val="both"/>
        <w:rPr>
          <w:rFonts w:ascii="Cambria" w:eastAsia="Times New Roman" w:hAnsi="Cambria" w:cs="Mangal"/>
          <w:color w:val="000000"/>
          <w:kern w:val="0"/>
          <w:lang w:eastAsia="hi-IN" w:bidi="hi-IN"/>
          <w14:ligatures w14:val="none"/>
        </w:rPr>
      </w:pPr>
    </w:p>
    <w:p w14:paraId="38BA482B" w14:textId="77777777" w:rsidR="00331AC2" w:rsidRPr="00331AC2" w:rsidRDefault="00331AC2" w:rsidP="00331AC2">
      <w:pPr>
        <w:widowControl w:val="0"/>
        <w:suppressAutoHyphens/>
        <w:spacing w:after="0" w:line="240" w:lineRule="auto"/>
        <w:jc w:val="both"/>
        <w:rPr>
          <w:rFonts w:ascii="Cambria" w:eastAsia="SimSun" w:hAnsi="Cambria" w:cs="Mangal"/>
          <w:color w:val="000000"/>
          <w:kern w:val="0"/>
          <w:lang w:eastAsia="hi-IN" w:bidi="hi-IN"/>
          <w14:ligatures w14:val="none"/>
        </w:rPr>
      </w:pPr>
      <w:r w:rsidRPr="00331AC2">
        <w:rPr>
          <w:rFonts w:ascii="Cambria" w:eastAsia="Times New Roman" w:hAnsi="Cambria" w:cs="Mangal"/>
          <w:color w:val="000000"/>
          <w:kern w:val="0"/>
          <w:lang w:eastAsia="hi-IN" w:bidi="hi-IN"/>
          <w14:ligatures w14:val="none"/>
        </w:rPr>
        <w:t xml:space="preserve">Η παραλαβή θα πραγματοποιηθεί από την τριμελή επιτροπή παρακολούθησης και παραλαβής (σύμφωνα με την παρ. 11 περ. β του άρθρου 221 του ν. 4412/16  κατά τα οριζόμενα στο άρθρο 208 του ως άνω νόμου), η οποία συγκροτήθηκε δυνάμει της με αρ. πρωτ.. ΕΛΚΕ ……./..-..-2025 πράξης (ΑΔΑ: …………..…). </w:t>
      </w:r>
    </w:p>
    <w:p w14:paraId="5D6F5F2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 xml:space="preserve">Η επιτροπή παραλαβής, μετά τους προβλεπόμενους ελέγχους συντάσσει πρωτόκολλα (μακροσκοπικό – οριστικό- παραλαβής του υλικού με παρατηρήσεις –απόρριψης των υλικών) σύμφωνα με το άρθρο 208 του ν. 4412/16: </w:t>
      </w:r>
    </w:p>
    <w:p w14:paraId="14A24A9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lastRenderedPageBreak/>
        <w:t xml:space="preserve">(άρ. 208 παρ. 3) Αν η σύμβαση προβλέπει μόνο μακροσκοπική εξέταση, συντάσσεται από την επιτροπή παραλαβής πρωτόκολλο οριστικής παραλαβής ή απόρριψης μετά τη διενέργεια της μακροσκοπικού ελέγχου. Όταν η σύμβαση προβλέπει, εκτός από την μακροσκοπική εξέταση και άλλους ελέγχους, ιδίως χημική εξέταση, μηχανική εξέταση, πρακτική δοκιμασία, συντάσσεται από την επιτροπή παραλαβής, εκτός από το πρωτόκολλο μακροσκοπικού ελέγχου και δειγματοληψίας και πρωτόκολλο οριστικής παραλαβής ή απόρριψης μετά τα αποτελέσματα των ελέγχων τούτων. </w:t>
      </w:r>
    </w:p>
    <w:p w14:paraId="31143A2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Εάν, λόγω της φύσης του είδους, όλοι οι προβλεπόμενοι από την σύμβαση έλεγχοι γίνονται από την επιτροπή παραλαβής και δεν μεσολαβούν εργαστηριακοί και λοιποί έλεγχοι για την σύνταξη του ανωτέρου πρωτοκόλλου, τούτο συντάσσεται από την επιτροπή χωρίς να προηγηθεί σύνταξη πρωτοκόλλου μακροσκοπικού ελέγχου και δειγματοληψίας. Μετά την ολοκλήρωση της ως άνω διαδικασίας η Επιτροπή Παραλαβής μπορεί:</w:t>
      </w:r>
    </w:p>
    <w:p w14:paraId="7007C5F4"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 να παραλάβει το υλικό,</w:t>
      </w:r>
    </w:p>
    <w:p w14:paraId="75420F08"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β) να παραλάβει το υλικό με παρατηρήσεις λόγω αποκλίσεων από τις τεχνικές προδιαγραφές της σύμβασης,</w:t>
      </w:r>
    </w:p>
    <w:p w14:paraId="0247AD9B"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γ) να απορρίψει το υλικό.</w:t>
      </w:r>
    </w:p>
    <w:p w14:paraId="12DBC4F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Το κόστος διενέργειας των ανωτέρω ελέγχων επιβαρύνει τον προμηθευτή.</w:t>
      </w:r>
    </w:p>
    <w:p w14:paraId="1420E1C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(άρ. 208 παρ. 4) Αν η επιτροπή παραλαβής παραλάβει το υλικό με παρατηρήσεις, αναφέρει στο σχετικό πρωτόκολλο τις αποκλίσεις που παρουσιάζει αυτό από τους όρους της σύμβασης και διατυπώνει αιτιολογημένα τη γνώμη της για το ζήτημα αν το υλικό είναι κατάλληλο ή όχι για τη χρήση που προορίζεται. Εφόσον κριθεί από την αρμόδια κατά περίπτωση υπηρεσία του φορέα που εκτελεί τη σύμβαση, ότι οι παρεκκλίσεις του υλικού δεν επηρεάζουν την καταλληλότητά του και μπορεί να χρησιμοποιηθεί, με αιτιολογημένη απόφαση του αποφαινόμενου οργάνου, ύστερα από γνωμοδότηση του αρμόδιου οργάνου, μπορεί να εγκριθεί η παραλαβή του υλικού, με ή χωρίς έκπτωση επί της συμβατικής τιμής. Σε αντίθετη περίπτωση, εφόσον κριθεί από την αρμόδια κατά περίπτωση υπηρεσία του φορέα που εκτελεί τη σύμβαση, ότι οι παρεκκλίσεις του υλικού επηρεάζουν την καταλληλότητά του και δεν μπορεί να χρησιμοποιηθεί, με αιτιολογημένη απόφαση του αποφαινόμενου οργάνου, ύστερα από γνωμοδότηση του αρμόδιου οργάνου, το υλικό μπορεί να απορριφθεί.</w:t>
      </w:r>
    </w:p>
    <w:p w14:paraId="4C832F51"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Εάν το υλικό απορρίπτεται από την επιτροπή παραλαβής λόγω παρεκκλίσεων που διαπιστώθηκαν κατά τον μακροσκοπικό έλεγχο, η επιτροπή δεν προβαίνει στη λήψη και αποστολή δειγμάτων και αντιδειγμάτων για άλλους περαιτέρω ελέγχους.</w:t>
      </w:r>
    </w:p>
    <w:p w14:paraId="5FBB18F4"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(άρ. 208 παρ. 5) Στη δευτεροβάθμια επιτροπή παραλαβής της περίπτωσης β΄ της παραγράφου 11 του άρθρου 221 μπορούν να παραπέμπονται για επανεξέταση περιπτώσεις υλικών που απορρίφθηκαν ή κρίθηκαν παραληπτέα με έκπτωση επί της συμβατικής τιμής με βάση του ελέγχους που διενέργησε η πρωτοβάθμια επιτροπή παραλαβής. Η παραπομπή κατά τα ανωτέρω γίνεται ύστερα από σχετικό αίτημα του προμηθευτή ή αυτεπάγγελτα από την υπηρεσία. Η δευτεροβάθμια επιτροπή παραλαβής προβαίνει εκ νέου, σε όλους τους προβλεπόμενους από τη σύμβαση ελέγχους και συντάσσει σχετικό πρωτόκολλο παραλαβής ή απόρριψης και ακολουθείται η διαδικασία που προβλέπεται στις παραγράφους 3 και 4.</w:t>
      </w:r>
    </w:p>
    <w:p w14:paraId="27B94360"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lastRenderedPageBreak/>
        <w:t>Το αίτημα για επανεξέταση υλικού σε δευτεροβάθμια επιτροπή παραλαβής, υποβάλλεται από τον προμηθευτή, μέσα σε ανατρεπτική προθεσμία είκοσι (20) ημερών από την ημερομηνία κοινοποίησης της σχετικής απόφασης. Τα έξοδα της δευτεροβάθμιας επιτροπής παραλαβής, βαρύνουν τον προμηθευτή, εφόσον τα είδη απορριφθούν οριστικά ή παραληφθούν με έκπτωση, ανεξάρτητα εάν η ανάθεση για επανεξέταση γίνεται μετά από αίτημα του προμηθευτή ή αυτεπάγγελτα. Τα έξοδα αυτά καταλογίζονται με απόφαση του αρμοδίου αποφαινόμενου οργάνου και εκπίπτουν από το ποσό πληρωμής του προμηθευτή ή εισπράττονται από την εγγύηση καλής εκτέλεσης της σύμβασης ή με βεβαίωση μέσω του δημοσίου ταμείου.</w:t>
      </w:r>
    </w:p>
    <w:p w14:paraId="095A8196"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(άρ. 208 παρ. 6) Τα πρωτόκολλα που συντάσσονται από τις επιτροπές παραλαβής, πρωτοβάθμιες ή δευτεροβάθμιες, κοινοποιούνται υποχρεωτικά και στους προμηθευτές.</w:t>
      </w:r>
    </w:p>
    <w:p w14:paraId="702A0472"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(άρ. 208 παρ. 7) Με απόφαση του αρμόδιου αποφαινόμενου οργάνου, μπορεί να παραπέμπεται για επανεξέταση υλικό σε δευτεροβάθμια επιτροπή παραλαβής που συγκροτείται προς τούτο, ακόμη και στην περίπτωση που παραλήφθηκε οριστικά από την πρωτοβάθμια επιτροπή παραλαβής. Στην περίπτωση αυτή ισχύουν για το Δημόσιο και για τον προμηθευτή τα αναφερόμενα στην παραπάνω παράγραφο 5.</w:t>
      </w:r>
    </w:p>
    <w:p w14:paraId="16F98905"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 xml:space="preserve">(άρ. 208 παρ. 8) Αν ο προμηθευτής διαφωνεί με το αποτέλεσμα των εργαστηριακών εξετάσεων που διενεργήθηκαν κατά την παραλαβή από την πρωτοβάθμια ή τη δευτεροβάθμια επιτροπή παραλαβής, μπορεί να ζητήσει εγγράφως εξέταση κατ’ έφεση των οικείων αντιδειγμάτων. Η κατ’ έφεση εξέταση γίνεται, ύστερα από έγγραφο της υπηρεσίας, σε εργαστήριο διαφορετικό από εκείνο που διενήργησε την αρχική εξέταση, σύμφωνα με την παράγραφο 13 του άρθρου 214. Ο προμηθευτής μπορεί να ζητήσει κατ’ έφεση εξέταση είτε η παραλαβή διενεργείται από πρωτοβάθμια είτε από δευτεροβάθμια επιτροπή παραλαβής από επιτροπές, υπό τους όρους,  διαδικασίες παραλαβής, τρόπους ποσοτικού και ποιοτικού ελέγχου των υλικών, ανάληψης του κόστους διενέργειας ελέγχου από τον Ανάδοχο  που ορίζονται και συμφωνούνται στο άρθρο 6.2 της Διακήρυξης.  </w:t>
      </w:r>
    </w:p>
    <w:p w14:paraId="7E0A452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Υλικά που απορρίφθηκαν ή κρίθηκαν παραληπτέα με έκπτωση επί της συμβατικής τιμής, μπορούν να παραπέμπονται για επανεξέταση σύμφωνα με τα οριζόμενα στο άρθρο 6.2.1. της Διακήρυξης.</w:t>
      </w:r>
    </w:p>
    <w:p w14:paraId="6B0CD0AC"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Ο ποιοτικός έλεγχος των υλικών γίνεται με μακροσκοπικό έλεγχο και πρακτική δοκιμασία του υπό προμήθεια εξοπλισμού. Το κόστος της διενέργειας των ελέγχων βαρύνει τον ανάδοχο.</w:t>
      </w:r>
    </w:p>
    <w:p w14:paraId="65AE441A"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επιτροπή παραλαβής, μετά τους προβλεπόμενους ελέγχους συντάσσει πρωτόκολλα (μακροσκοπικό – οριστικό- παραλαβής του αγαθού με παρατηρήσεις –απόρριψης  των αγαθών) σύμφωνα με την παρ.3 του άρθρου 208 του ν. 4412/16.</w:t>
      </w:r>
    </w:p>
    <w:p w14:paraId="69778FC1"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Τα πρωτόκολλα που συντάσσονται από τις επιτροπές (πρωτοβάθμιες – δευτεροβάθμιες) κοινοποιούνται υποχρεωτικά και στους αναδόχους.</w:t>
      </w:r>
    </w:p>
    <w:p w14:paraId="2AD2D80D"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Αγαθά που απορρίφθηκαν ή κρίθηκαν παραληπτέα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14:paraId="75B724A4"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lastRenderedPageBreak/>
        <w:t>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κατ΄ έφεση των οικείων αντιδειγμάτων,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ν. 4412/2016.</w:t>
      </w:r>
    </w:p>
    <w:p w14:paraId="0E059115"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Το αποτέλεσμα  της κατ’ έφεση εξέτασης είναι υποχρεωτικό και τελεσίδικο και για τα δύο μέρη.</w:t>
      </w:r>
    </w:p>
    <w:p w14:paraId="069B7C85"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Ο ανάδοχος δεν μπορεί να ζητήσει παραπομπή σε δευτεροβάθμια επιτροπή παραλαβής μετά τα αποτελέσματα της κατ’ έφεση εξέτασης.</w:t>
      </w:r>
    </w:p>
    <w:p w14:paraId="16049C09"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παραλαβή των αγαθών και η έκδοση των σχετικών πρωτοκόλλων παραλαβής πραγματοποιείται σύμφωνα με τους χρόνους που τέθηκαν ανωτέρω, υπό 6.1.1 της παρούσας, από την επιτροπή παρακολούθησης και παραλαβής, η οποία συγκροτήθηκε δυνάμει της με αρ. πρωτ. ΕΛΚΕ …………/..-….-2025 πράξης (ΑΔΑ: ……………………). Η επιτροπή συντάσσει πρωτόκολλα παραλαβής εντός επτά (7) ημερών από την ολοκλήρωση της εκάστοτε παραλαβής.</w:t>
      </w:r>
    </w:p>
    <w:p w14:paraId="49E2D511"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Αν η παραλαβή των αγαθών και η σύνταξη του σχετικού πρωτοκόλλου δεν πραγματοποιηθεί από την επιτροπή παρακολούθησης και παραλαβής μέσα στον οριζόμενο από τη σύμβαση χρόνο, σύμφωνα με όσα ορίζονται ανωτέρω, θεωρείται ότι η παραλαβή συντελέστηκε αυτοδίκαια, με κάθε επιφύλαξη των δικαιωμάτων του Δημοσίου και εκδίδεται προς τούτο σχετική απόφαση του αρμόδιου αποφαινόμενου οργάνου, με βάση μόνο το θεωρημένο από την υπηρεσία που παραλαμβάνει τα αγαθά αποδεικτικό προσκόμισης τούτων, σύμφωνα δε με την απόφαση αυτή η αποθήκη του φορέα εκδίδει δελτίο εισαγωγής του αγαθού και εγγραφής του στα βιβλία της, προκειμένου να πραγματοποιηθεί η πληρωμή του αναδόχου.</w:t>
      </w:r>
    </w:p>
    <w:p w14:paraId="1E14D82D"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Ανεξάρτητα από την, κατά τα ανωτέρω, αυτοδίκαιη παραλαβή και την πληρωμή του αναδόχου, πραγματοποιούνται οι προβλεπόμενοι από τη σύμβαση έλεγχοι από επιτροπή που συγκροτείται με απόφαση του αρμόδιου αποφαινόμενου οργάνου, στην οποία δεν μπορεί να συμμετέχουν ο πρόεδρος και τα μέλη της επιτροπής που δεν πραγματοποίησε την παραλαβή στον προβλεπόμενο από τη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προβλεπόμενων από τη σύμβαση ελέγχων και τη σύνταξη των σχετικών πρωτοκόλλων</w:t>
      </w:r>
    </w:p>
    <w:p w14:paraId="20B5F883"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Σε περίπτωση οριστικής απόρριψης ολόκληρης ή μέρους της συμβατικής ποσότητας των υλικών, με απόφαση της Αναθέτουσας Αρχής, μπορεί να εγκρίνεται αντικατάστασή της με άλλη, που να είναι σύμφωνη με τους όρους της παρούσας σύμβασης, στους χρόνους, τη διαδικασία αντικατάστασης και την τακτή προθεσμία που ορίζονται στην απόφαση αυτή και σύμφωνα με το άρθρο 6.4. της Διακήρυξης.</w:t>
      </w:r>
    </w:p>
    <w:p w14:paraId="000B7BFB"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 xml:space="preserve">Αν η ανάδοχος δεν αντικαταστήσει τα υλικά που απορρίφθηκαν μέσα στην προθεσμία που του τάχθηκε και εφ’ όσον έχει λήξει ο συμβατικός χρόνος, κηρύσσεται έκπτωτος και υπόκειται στις προβλεπόμενες κυρώσεις του όρου 9 της παρούσας </w:t>
      </w:r>
      <w:r w:rsidRPr="00331AC2">
        <w:rPr>
          <w:rFonts w:ascii="Calibri" w:eastAsia="Times New Roman" w:hAnsi="Calibri" w:cs="Calibri"/>
          <w:kern w:val="0"/>
          <w:lang w:eastAsia="el-GR"/>
          <w14:ligatures w14:val="none"/>
        </w:rPr>
        <w:lastRenderedPageBreak/>
        <w:t>σύμβασης. Η επιστροφή των υλικών που απορρίφθηκαν γίνεται σύμφωνα με τα προβλεπόμενα στις  παρ. 2 και 3 του άρθρου 213 του ν. 4412/2016.</w:t>
      </w:r>
    </w:p>
    <w:p w14:paraId="539FFD1C" w14:textId="77777777" w:rsidR="00331AC2" w:rsidRPr="00331AC2" w:rsidRDefault="00331AC2" w:rsidP="00331AC2">
      <w:pPr>
        <w:suppressAutoHyphens/>
        <w:spacing w:after="0" w:line="240" w:lineRule="auto"/>
        <w:ind w:firstLine="720"/>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p>
    <w:p w14:paraId="3BBE0C7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Αν ο ανάδοχος δεν αντικαταστήσει τα αγαθά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14:paraId="04F10AEC"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ab/>
        <w:t>Ο συμβατικός χρόνος παράδοσης των υλικών μπορεί να παρατείνεται, πριν από τη λήξη του αρχικού συμβατικού χρόνου παράδοσης, υπό τις προϋποθέσεις του άρθρου 206 του ν. 4412/2016. Στην περίπτωση που το αίτημα υποβάλλεται από τον Ανάδοχο και η παράταση χορηγείται από την Αναθέτουσα Αρχή χωρίς να συντρέχουν λόγοι ανωτέρας βίας ή άλλοι ιδιαιτέρως σοβαροί λόγοι που καθιστούν αντικειμενικώς αδύνατη την εμπρόθεσμη παράδοση των συμβατικών ειδών επιβάλλονται στον Ανάδοχο οι κυρώσεις του άρθρου 207 του ν. 4412/2016.</w:t>
      </w:r>
    </w:p>
    <w:p w14:paraId="2E3CC379" w14:textId="77777777" w:rsidR="00331AC2" w:rsidRPr="00331AC2" w:rsidRDefault="00331AC2" w:rsidP="00331AC2">
      <w:pPr>
        <w:suppressAutoHyphens/>
        <w:spacing w:after="0" w:line="240" w:lineRule="auto"/>
        <w:jc w:val="both"/>
        <w:rPr>
          <w:rFonts w:ascii="Calibri" w:eastAsia="Times New Roman" w:hAnsi="Calibri" w:cs="Calibri"/>
          <w:color w:val="0070C0"/>
          <w:kern w:val="0"/>
          <w:lang w:eastAsia="el-GR"/>
          <w14:ligatures w14:val="none"/>
        </w:rPr>
      </w:pPr>
      <w:r w:rsidRPr="00331AC2">
        <w:rPr>
          <w:rFonts w:ascii="Calibri" w:eastAsia="Times New Roman" w:hAnsi="Calibri" w:cs="Calibri"/>
          <w:color w:val="0070C0"/>
          <w:kern w:val="0"/>
          <w:lang w:eastAsia="el-GR"/>
          <w14:ligatures w14:val="none"/>
        </w:rPr>
        <w:tab/>
      </w:r>
    </w:p>
    <w:p w14:paraId="6C23B43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6.2. Ο Ανάδοχος υποχρεούται να παραδώσει στην Αναθέτουσα Αρχή τα υλικά σύμφωνα  με το άρθρο 6.1. της Διακήρυξης. Μη εμπρόθεσμη παράδοση των υλικών από τον Ανάδοχο επάγεται την κήρυξη αυτού ως εκπτώτου σύμφωνα με το άρθρο 6.1.2  της Διακήρυξης.  </w:t>
      </w:r>
    </w:p>
    <w:p w14:paraId="30C5E28C"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3290E7CE"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val="en-GB" w:eastAsia="el-GR"/>
          <w14:ligatures w14:val="none"/>
        </w:rPr>
        <w:t>H</w:t>
      </w:r>
      <w:r w:rsidRPr="00331AC2">
        <w:rPr>
          <w:rFonts w:ascii="Calibri" w:eastAsia="Times New Roman" w:hAnsi="Calibri" w:cs="Calibri"/>
          <w:kern w:val="0"/>
          <w:lang w:eastAsia="el-GR"/>
          <w14:ligatures w14:val="none"/>
        </w:rPr>
        <w:t xml:space="preserve"> παραλαβή των υλικών γίνεται από επιτροπές, υπό τους όρους, διαδικασίες παραλαβής, τρόπους ποσοτικού και ποιοτικού ελέγχου των υλικών, ανάληψης του κόστους διενέργειας ελέγχου από τον Ανάδοχο που ορίζονται και συμφωνούνται στο άρθρο 6.2 της Διακήρυξης.  </w:t>
      </w:r>
    </w:p>
    <w:p w14:paraId="7C19A698"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7F19107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Υλικά που απορρίφθηκαν ή κρίθηκαν παραληπτέα με έκπτωση επί της συμβατικής τιμής, μπορούν να παραπέμπονται για επανεξέταση σύμφωνα με τα οριζόμενα στο άρθρο 6.2.1. της Διακήρυξης.6</w:t>
      </w:r>
    </w:p>
    <w:p w14:paraId="7F99EA83"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4EC6ADD5"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Αν η παραλαβή των υλικών και η σύνταξη του σχετικού πρωτοκόλλου δεν πραγματοποιηθεί από την επιτροπή παραλαβής μέσα στον οριζόμενο από τη σύμβαση χρόνο, ισχύουν τα αναφερόμενα στο άρθρο 6.2.2. της Διακήρυξης. </w:t>
      </w:r>
    </w:p>
    <w:p w14:paraId="3707A32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3B0B537B"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Ανεξάρτητα από την, στο ως άνω άρθρο 6.2.2. οριζόμενη  αυτοδίκαιη παραλαβή και την πληρωμή του Αναδόχου, πραγματοποιούνται οι προβλεπόμενοι από την παρούσα σύμβαση έλεγχοι από επιτροπή που συγκροτείται με απόφαση της Αναθέτουσας Αρχής, στην οποία δεν μπορεί να συμμετέχουν ο πρόεδρος και τα μέλη της επιτροπής που δεν πραγματοποίησε την παραλαβή στον προβλεπόμενο από την παρούσα σύμβαση χρόνο. Η παραπάνω επιτροπή παραλαβής προβαίνει σε όλες τις διαδικασίες παραλαβής που προβλέπονται από την ως άνω παράγραφο 2 του όρου 2 της παρούσας σύμβασης και των άρθρων  6.2.1. της Διακήρυξης και του άρθρου 208 του ν. 4412/2016 και συντάσσει τα σχετικά πρωτόκολλα. Οι εγγυητικές επιστολές προκαταβολής και καλής εκτέλεσης δεν επιστρέφονται πριν από την ολοκλήρωση </w:t>
      </w:r>
      <w:r w:rsidRPr="00331AC2">
        <w:rPr>
          <w:rFonts w:ascii="Calibri" w:eastAsia="Times New Roman" w:hAnsi="Calibri" w:cs="Calibri"/>
          <w:kern w:val="0"/>
          <w:lang w:eastAsia="el-GR"/>
          <w14:ligatures w14:val="none"/>
        </w:rPr>
        <w:lastRenderedPageBreak/>
        <w:t xml:space="preserve">όλων των προβλεπόμενων από την παρούσα  σύμβαση ελέγχων και τη σύνταξη των σχετικών πρωτοκόλλων. </w:t>
      </w:r>
    </w:p>
    <w:p w14:paraId="3C8E6BA0"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3EC3C014"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6.3.Ο συμβατικός χρόνος παράδοσης των υλικών μπορεί να παρατείνεται, πριν από τη λήξη του αρχικού συμβατικού χρόνου παράδοσης, υπό τις προϋποθέσεις του άρθρου 206 του ν. 4412/2016. Στην περίπτωση που το αίτημα υποβάλλεται από τον Ανάδοχο και η παράταση χορηγείται από την Αναθέτουσα Αρχή χωρίς να συντρέχουν λόγοι ανωτέρας βίας ή άλλοι ιδιαιτέρως σοβαροί λόγοι που καθιστούν αντικειμενικώς αδύνατη την εμπρόθεσμη παράδοση των συμβατικών ειδών επιβάλλονται στον Ανάδοχο οι κυρώσεις του άρθρου 207 του ν. 4412/2016.</w:t>
      </w:r>
    </w:p>
    <w:p w14:paraId="76AC88C4"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p>
    <w:p w14:paraId="5407CEAC" w14:textId="77777777" w:rsidR="00331AC2" w:rsidRPr="00331AC2" w:rsidRDefault="00331AC2" w:rsidP="00331AC2">
      <w:pPr>
        <w:suppressAutoHyphens/>
        <w:spacing w:after="12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7</w:t>
      </w:r>
    </w:p>
    <w:p w14:paraId="4A9085E8" w14:textId="77777777" w:rsidR="00331AC2" w:rsidRPr="00331AC2" w:rsidRDefault="00331AC2" w:rsidP="00331AC2">
      <w:pPr>
        <w:suppressAutoHyphens/>
        <w:spacing w:after="12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Επικαιροποίηση τεχνικών προδιαγραφών κατά την εκτέλεση της σύμβασης</w:t>
      </w:r>
    </w:p>
    <w:p w14:paraId="256E04E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Εφόσον, μετά τη σύναψη της σύμβασης έχουν αντικατασταθεί, από τον κατασκευαστή, κάποια εκ των προσφερόμενων αγαθών  με νεότερα είδη/ μοντέλα / εκδόσεις, ο ανάδοχος υποβάλλει στην αναθέτουσα αρχή πρόταση επικαιροποίησης, η οποία υπόκειται στην έγκριση της αναθέτουσας αρχής, κατόπιν γνωμοδότησης της Επιτροπής Παρακολούθησης- Παραλαβής. Στο πλαίσιο της πρότασης επικαιροποίησης, τα αγαθά που θα αντικαταστήσουν εκείνα που προσφέρθηκαν και αξιολογήθηκαν πρέπει είναι τουλάχιστον ισοδύναμα με τα προσφερθέντα. Εφόσον εγκριθεί η πρόταση, ο ανάδοχος υποχρεούται να προμηθεύσει τα επικαιροποιημένα αγαθά αντί των αρχικά προσφερθέντων, χωρίς πρόσθετη οικονομική επιβάρυνση της αναθέτουσας αρχής και χωρίς μεταβολή των όρων πληρωμής. Ο χρόνος παράδοσης των επικαιροποιημένων αγαθών, όπως έχει οριστεί στην παρ. 6.1.1. της παρούσας, εκκινεί από την κοινοποίηση της εγκριτικής απόφασης της αναθέτουσας αρχής στον ανάδοχο.</w:t>
      </w:r>
    </w:p>
    <w:p w14:paraId="08BFC44E"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3FDA8D66"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3E6F4A36"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8</w:t>
      </w:r>
    </w:p>
    <w:p w14:paraId="4E7ED062"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Απόρριψη συμβατικών υλικών –Αντικατάσταση</w:t>
      </w:r>
    </w:p>
    <w:p w14:paraId="720D267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7D89FF3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8.1. Σε περίπτωση οριστικής απόρριψης ολόκληρης ή μέρους της συμβατικής ποσότητας των υλικών, με απόφαση της Αναθέτουσας Αρχής, μπορεί να εγκρίνεται αντικατάστασή της με άλλη, που να είναι σύμφωνη με τους όρους της παρούσας σύμβασης, στους χρόνους, τη διαδικασία αντικατάστασης και την τακτή προθεσμία που ορίζονται στην απόφαση αυτή και σύμφωνα με το άρθρο 6.4. της Διακήρυξης.</w:t>
      </w:r>
    </w:p>
    <w:p w14:paraId="3210EC93"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8.2. 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 του όρου 9 της παρούσας σύμβασης.</w:t>
      </w:r>
    </w:p>
    <w:p w14:paraId="4E50862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8.3. Η επιστροφή των υλικών που απορρίφθηκαν γίνεται σύμφωνα με τα προβλεπόμενα στις παρ. 2 και 3 του άρθρου 213 του ν. 4412/2016.</w:t>
      </w:r>
    </w:p>
    <w:p w14:paraId="0237CD08"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31C1623B"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62E23F5C"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9</w:t>
      </w:r>
    </w:p>
    <w:p w14:paraId="1CA599AB"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Υπεργολαβία</w:t>
      </w:r>
    </w:p>
    <w:p w14:paraId="18050885" w14:textId="77777777" w:rsidR="00331AC2" w:rsidRPr="00331AC2" w:rsidRDefault="00331AC2" w:rsidP="00331AC2">
      <w:pPr>
        <w:suppressAutoHyphens/>
        <w:spacing w:after="0" w:line="240" w:lineRule="auto"/>
        <w:jc w:val="both"/>
        <w:rPr>
          <w:rFonts w:ascii="Calibri" w:eastAsia="Times New Roman" w:hAnsi="Calibri" w:cs="Calibri"/>
          <w:b/>
          <w:bCs/>
          <w:kern w:val="0"/>
          <w:lang w:eastAsia="el-GR"/>
          <w14:ligatures w14:val="none"/>
        </w:rPr>
      </w:pPr>
    </w:p>
    <w:p w14:paraId="1424902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9.1.Ο Ανάδοχος, σύμφωνα με το άρθρο 4.4.1. της Διακήρυξης,  δεν απαλλάσσεται από τις συμβατικές του υποχρεώσεις και ευθύνες έναντι της Αναθέτουσας Αρχής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Αναδόχου. </w:t>
      </w:r>
    </w:p>
    <w:p w14:paraId="59BB576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0315C4F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Δεν επιτρέπεται η ανάθεση της εκτέλεσης της σύμβασης σε υπεργολάβο/</w:t>
      </w:r>
      <w:proofErr w:type="spellStart"/>
      <w:r w:rsidRPr="00331AC2">
        <w:rPr>
          <w:rFonts w:ascii="Calibri" w:eastAsia="Times New Roman" w:hAnsi="Calibri" w:cs="Calibri"/>
          <w:kern w:val="0"/>
          <w:lang w:eastAsia="el-GR"/>
          <w14:ligatures w14:val="none"/>
        </w:rPr>
        <w:t>ους</w:t>
      </w:r>
      <w:proofErr w:type="spellEnd"/>
      <w:r w:rsidRPr="00331AC2">
        <w:rPr>
          <w:rFonts w:ascii="Calibri" w:eastAsia="Times New Roman" w:hAnsi="Calibri" w:cs="Calibri"/>
          <w:kern w:val="0"/>
          <w:lang w:eastAsia="el-GR"/>
          <w14:ligatures w14:val="none"/>
        </w:rPr>
        <w:t>, των πιο κάτω τμημάτων της σύμβασης/των πιο κάτω υπηρεσιών-καθηκόντων ......</w:t>
      </w:r>
      <w:r w:rsidRPr="00331AC2">
        <w:rPr>
          <w:rFonts w:ascii="Calibri" w:eastAsia="Times New Roman" w:hAnsi="Calibri" w:cs="Calibri"/>
          <w:kern w:val="0"/>
          <w:vertAlign w:val="superscript"/>
          <w:lang w:val="en-GB" w:eastAsia="el-GR"/>
          <w14:ligatures w14:val="none"/>
        </w:rPr>
        <w:footnoteReference w:id="2"/>
      </w:r>
    </w:p>
    <w:p w14:paraId="753225CC"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9.2. Ο Ανάδοχος σύμφωνα με το  άρθρο 4.4.2. της Διακήρυξης, ενημέρωσε την Αναθέτουσα Αρχή για την επωνυμία/όνομα, τα στοιχεία επικοινωνίας και τους νόμιμους εκπροσώπους των υπεργολάβων του, οι οποίοι συμμετέχουν στην εκτέλεση της παρούσας σύμβασης. Ο Ανάδοχος υποχρεούται να γνωστοποιεί στην Αναθέτουσα Αρχή κάθε αλλαγή των πληροφοριών αυτών, κατά τη διάρκεια της παρούσας σύμβασης, καθώς και τις απαιτούμενες πληροφορίες σχετικά με κάθε νέο υπεργολάβο, τον οποίο ο Ανάδοχος θα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 υπεργολάβους της παρούσας  σύμβασης, ο Ανάδοχος υποχρεούται σε άμεση γνωστοποίηση της διακοπής αυτής στην Αναθέτουσα Αρχή και  οφείλει να διασφαλίσει την ομαλή εκτέλεση του/των τμήματος/ τμημάτων της σύμβασης είτε από τον ίδιο, είτε από νέο υπεργολάβο τον οποίο θα γνωστοποιήσει στην Αναθέτουσα Αρχή κατά την ως άνω διαδικασία</w:t>
      </w:r>
      <w:r w:rsidRPr="00331AC2">
        <w:rPr>
          <w:rFonts w:ascii="Calibri" w:eastAsia="Times New Roman" w:hAnsi="Calibri" w:cs="Calibri"/>
          <w:kern w:val="0"/>
          <w:vertAlign w:val="superscript"/>
          <w:lang w:val="en-GB" w:eastAsia="el-GR"/>
          <w14:ligatures w14:val="none"/>
        </w:rPr>
        <w:footnoteReference w:id="3"/>
      </w:r>
      <w:r w:rsidRPr="00331AC2">
        <w:rPr>
          <w:rFonts w:ascii="Calibri" w:eastAsia="Times New Roman" w:hAnsi="Calibri" w:cs="Calibri"/>
          <w:kern w:val="0"/>
          <w:lang w:eastAsia="el-GR"/>
          <w14:ligatures w14:val="none"/>
        </w:rPr>
        <w:t xml:space="preserve">. </w:t>
      </w:r>
    </w:p>
    <w:p w14:paraId="1FE0FCCC"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154EE811"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9.3. </w:t>
      </w:r>
      <w:r w:rsidRPr="00331AC2">
        <w:rPr>
          <w:rFonts w:ascii="Calibri" w:eastAsia="Times New Roman" w:hAnsi="Calibri" w:cs="Calibri"/>
          <w:kern w:val="0"/>
          <w:lang w:eastAsia="ar-SA"/>
          <w14:ligatures w14:val="none"/>
        </w:rPr>
        <w:t xml:space="preserve">Η Αναθέτουσα Αρχή επαληθεύει τη συνδρομή των λόγων αποκλεισμού για τους υπεργολάβους, όπως αυτοί περιγράφονται στην παράγραφο 2.2.3  της Διακήρυξης και με τα αποδεικτικά μέσα της παραγράφου 2.2.9.2  της Διακήρυξης  σύμφωνα με τα οριζόμενα στο άρθρο 4.4.3. αυτής. Επιπλέον, η Αναθέτουσα Αρχή,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w:t>
      </w:r>
      <w:r w:rsidRPr="00331AC2">
        <w:rPr>
          <w:rFonts w:ascii="Calibri" w:eastAsia="Times New Roman" w:hAnsi="Calibri" w:cs="Calibri"/>
          <w:kern w:val="0"/>
          <w:lang w:eastAsia="ar-SA"/>
          <w14:ligatures w14:val="none"/>
        </w:rPr>
        <w:lastRenderedPageBreak/>
        <w:t>υπολείπονται του ποσοστού που ορίζεται σύμφωνα με τα οριζόμενα στο άρθρο 4.4.3. της Διακήρυξης.</w:t>
      </w:r>
    </w:p>
    <w:p w14:paraId="0F29925F"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48E0F0D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9.4. Ο υπεργολάβος λαμβάνει γνώση της συνημμένης στην παρούσα ρήτρα ακεραιότητας και δεσμεύεται να τηρήσει τις υποχρεώσεις που περιλαμβάνονται σε αυτή. Η ως άνω δέσμευση περιέρχεται στην Αναθέτουσα Αρχή με ευθύνη του Αναδόχου. </w:t>
      </w:r>
    </w:p>
    <w:p w14:paraId="7884805B" w14:textId="77777777" w:rsidR="00331AC2" w:rsidRPr="00331AC2" w:rsidRDefault="00331AC2" w:rsidP="00331AC2">
      <w:pPr>
        <w:suppressAutoHyphens/>
        <w:spacing w:after="0" w:line="240" w:lineRule="auto"/>
        <w:jc w:val="center"/>
        <w:rPr>
          <w:rFonts w:ascii="Calibri" w:eastAsia="Times New Roman" w:hAnsi="Calibri" w:cs="Calibri"/>
          <w:kern w:val="0"/>
          <w:lang w:eastAsia="el-GR"/>
          <w14:ligatures w14:val="none"/>
        </w:rPr>
      </w:pPr>
    </w:p>
    <w:p w14:paraId="0E3D26DC"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10</w:t>
      </w:r>
    </w:p>
    <w:p w14:paraId="5B088CE1"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Κήρυξη οικονομικού φορέα εκπτώτου –Κυρώσεις</w:t>
      </w:r>
    </w:p>
    <w:p w14:paraId="72116E1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21B9B78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 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14:paraId="6CC2BF62"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 στην περίπτωση της παρ. 7 του άρθρου 105 περί κατακύρωσης και σύναψης σύμβασης,</w:t>
      </w:r>
    </w:p>
    <w:p w14:paraId="063510C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14:paraId="3CD19E00"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και την παράγραφο 6.1 της παρούσας με την επιφύλαξη της επόμενης παραγράφου.</w:t>
      </w:r>
    </w:p>
    <w:p w14:paraId="50A73B91"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Στην περίπτωση συνδρομής λόγου έκπτωσης του αναδόχου από σύμβαση κατά την ως άνω περίπτωση γ΄, η αναθέτουσα αρχή κοινοποιεί στον ανάδοχο ειδική όχληση,  στην οποία μνημονεύει τις διατάξεις του άρθρου 203 του ν. 4412/2016  και περιλαμβάνει συγκεκριμένη περιγραφή των ενεργειών στις οποίες οφείλει να προβεί ο ανάδοχος, προκειμένου να συμμορφωθεί, μέσα σε προθεσμία δεκαπέντε (15) ημερών από την κοινοποίηση της ανωτέρω όχλησης. Αν η προθεσμία που  τάχθηκε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14:paraId="3AA51426"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Ο ανάδοχος δεν κηρύσσεται έκπτωτος για λόγους που ανάγονται σε υπαιτιότητα του φορέα εκτέλεσης της σύμβασης ή αν συντρέχουν λόγοι ανωτέρας βίας.</w:t>
      </w:r>
    </w:p>
    <w:p w14:paraId="6A02D3E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14:paraId="0988973F"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 ολική κατάπτωση της εγγύησης συμμετοχής ή καλής εκτέλεσης της σύμβασης κατά περίπτωση,</w:t>
      </w:r>
    </w:p>
    <w:p w14:paraId="581EFA31"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β) είσπραξη εντόκως της προκαταβολής που χορηγήθηκε στον έκπτωτο από τη σύμβαση ανάδοχο, είτε από ποσό που δικαιούται να λάβει, είτε με κατάθεση του </w:t>
      </w:r>
      <w:r w:rsidRPr="00331AC2">
        <w:rPr>
          <w:rFonts w:ascii="Calibri" w:eastAsia="Times New Roman" w:hAnsi="Calibri" w:cs="Calibri"/>
          <w:kern w:val="0"/>
          <w:lang w:eastAsia="el-GR"/>
          <w14:ligatures w14:val="none"/>
        </w:rPr>
        <w:lastRenderedPageBreak/>
        <w:t>ποσού από τον ίδιο, είτε με κατάπτωση της εγγύησης προκαταβολής. Ο υπολογισμός των τόκων γίνεται από την ημερομηνία λήψης της προκαταβολής από τον ανάδοχο μέχρι την ημερομηνία έκδοσης της απόφασης κήρυξής του ως εκπτώτου, με το ισχύον κάθε φορά ανώτατο όριο επιτοκίου για τόκο από δικαιοπραξία, από την ημερομηνία δε αυτή και μέχρι την επιστροφή της, με το ισχύον κάθε φορά επιτόκιο για τόκο υπερημερίας [η περίπτωση αυτή συμπληρώνεται εφόσον προβλέπεται η χορήγηση προκαταβολής].</w:t>
      </w:r>
    </w:p>
    <w:p w14:paraId="37710D62"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γ)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14:paraId="071B2B71"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Δ = (ΤΚΤ ΤΚΕ) </w:t>
      </w:r>
      <w:r w:rsidRPr="00331AC2">
        <w:rPr>
          <w:rFonts w:ascii="Calibri" w:eastAsia="Times New Roman" w:hAnsi="Calibri" w:cs="Calibri"/>
          <w:kern w:val="0"/>
          <w:lang w:val="en-GB" w:eastAsia="el-GR"/>
          <w14:ligatures w14:val="none"/>
        </w:rPr>
        <w:t>x</w:t>
      </w:r>
      <w:r w:rsidRPr="00331AC2">
        <w:rPr>
          <w:rFonts w:ascii="Calibri" w:eastAsia="Times New Roman" w:hAnsi="Calibri" w:cs="Calibri"/>
          <w:kern w:val="0"/>
          <w:lang w:eastAsia="el-GR"/>
          <w14:ligatures w14:val="none"/>
        </w:rPr>
        <w:t xml:space="preserve">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14:paraId="385E426D"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ΤΚΤ = Τιμή κατακύρωσης της προμήθειας των αγαθών, που δεν προσκομίστηκαν προσηκόντως από τον έκπτωτο οικονομικό φορέα στον νέο ανάδοχο.</w:t>
      </w:r>
    </w:p>
    <w:p w14:paraId="1327282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14:paraId="603CA18E"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w:t>
      </w:r>
    </w:p>
    <w:p w14:paraId="110EBDAC"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14:paraId="7D8F3756"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δ)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 του ως άνω νόμου, περί αποκλεισμού οικονομικού φορέα από δημόσιες συμβάσεις. [η κύρωση του οριζόντιου αποκλεισμού δύναται να επιβληθεί μετά την έκδοση του προβλεπόμενου π.δ.]</w:t>
      </w:r>
    </w:p>
    <w:p w14:paraId="7A4AE5DC"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2661206F"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lastRenderedPageBreak/>
        <w:t>Αν το αγαθό φορτωθεί - παραδοθεί ή αντικατασταθεί μετά τη λήξη του συμβατικού χρόνου και μέχρι τη λήξη του χρόνου της παράτασης που χορηγήθηκε, σύμφωνα με το άρθρο 206 του ν. 4412/16, επιβάλλεται πρόστιμο  πέντε τοις εκατό (5%) επί της συμβατικής αξίας της ποσότητας που παραδόθηκε εκπρόθεσμα.</w:t>
      </w:r>
    </w:p>
    <w:p w14:paraId="7726115F"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Το παραπάνω πρόστιμο υπολογίζεται επί της συμβατικής αξίας των εκπρόθεσμα παραδοθέντων αγαθών, χωρίς ΦΠΑ. Εάν τα αγαθά που παραδόθηκαν εκπρόθεσμα επηρεάζουν τη χρησιμοποίηση των αγαθών που παραδόθηκαν εμπρόθεσμα, το πρόστιμο υπολογίζεται επί της συμβατικής αξίας της συνολικής ποσότητας αυτών.</w:t>
      </w:r>
    </w:p>
    <w:p w14:paraId="0A755B8E"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Κατά τον υπολογισμό του χρονικού διαστήματος της καθυστέρησης για φόρτωση- παράδοση ή αντικατάσταση των αγαθών, με απόφαση του αποφαινόμενου οργάνου, ύστερα από γνωμοδότηση του αρμόδιου οργάνου, δεν λαμβάνεται υπόψη ο χρόνος που παρήλθε πέραν του εύλογου, κατά τα διάφορα στάδια των διαδικασιών, για τον οποίο δεν ευθύνεται ο ανάδοχος και παρατείνεται, αντίστοιχα, ο χρόνος φόρτωσης - παράδοσης.</w:t>
      </w:r>
    </w:p>
    <w:p w14:paraId="53461BBE"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είσπραξη του προστίμου και των τόκων επί της προκαταβολής γίνεται με παρακράτηση από το ποσό πληρωμής του αναδόχου ή, σε περίπτωση ανεπάρκειας ή έλλειψης αυτού, με ισόποση κατάπτωση της εγγύησης καλής εκτέλεσης και προκαταβολής αντίστοιχα, εφόσον ο ανάδοχος δεν καταθέσει το απαιτούμενο ποσό.</w:t>
      </w:r>
    </w:p>
    <w:p w14:paraId="43A33AF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Σε περίπτωση ένωσης οικονομικών φορέων, το πρόστιμο και οι τόκοι επιβάλλονται αναλόγως σε όλα τα μέλη της ένωσης.</w:t>
      </w:r>
    </w:p>
    <w:p w14:paraId="6819E1A1" w14:textId="77777777" w:rsidR="00331AC2" w:rsidRPr="00331AC2" w:rsidRDefault="00331AC2" w:rsidP="00331AC2">
      <w:pPr>
        <w:suppressAutoHyphens/>
        <w:spacing w:after="0" w:line="240" w:lineRule="auto"/>
        <w:jc w:val="both"/>
        <w:rPr>
          <w:rFonts w:ascii="Calibri" w:eastAsia="Times New Roman" w:hAnsi="Calibri" w:cs="Calibri"/>
          <w:i/>
          <w:color w:val="0070C0"/>
          <w:kern w:val="0"/>
          <w:lang w:eastAsia="el-GR"/>
          <w14:ligatures w14:val="none"/>
        </w:rPr>
      </w:pPr>
    </w:p>
    <w:p w14:paraId="43F1DDC4"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Για την είσπραξη του διαφέροντος από τον έκπτωτο οικονομικό φορέα μπορεί να εφαρμόζεται η διαδικασία του Κώδικα Είσπραξης Δημοσίων Εσόδων. Το διαφέρον εισπράττεται υπέρ της Αναθέτουσας Αρχής.</w:t>
      </w:r>
    </w:p>
    <w:p w14:paraId="30D580D8" w14:textId="77777777" w:rsidR="00331AC2" w:rsidRPr="00331AC2" w:rsidRDefault="00331AC2" w:rsidP="00331AC2">
      <w:pPr>
        <w:suppressAutoHyphens/>
        <w:spacing w:after="0" w:line="240" w:lineRule="auto"/>
        <w:jc w:val="center"/>
        <w:rPr>
          <w:rFonts w:ascii="Calibri" w:eastAsia="Times New Roman" w:hAnsi="Calibri" w:cs="Calibri"/>
          <w:b/>
          <w:bCs/>
          <w:kern w:val="0"/>
          <w:highlight w:val="green"/>
          <w:lang w:eastAsia="el-GR"/>
          <w14:ligatures w14:val="none"/>
        </w:rPr>
      </w:pPr>
    </w:p>
    <w:p w14:paraId="09BCB3BE"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p>
    <w:p w14:paraId="27482843"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11</w:t>
      </w:r>
    </w:p>
    <w:p w14:paraId="163D5A93"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Τροποποίηση σύμβασης κατά τη διάρκειά της</w:t>
      </w:r>
    </w:p>
    <w:p w14:paraId="4AC870C6"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069B3EB0" w14:textId="77777777" w:rsidR="00331AC2" w:rsidRPr="00331AC2" w:rsidRDefault="00331AC2" w:rsidP="00331AC2">
      <w:pPr>
        <w:suppressAutoHyphens/>
        <w:spacing w:after="0" w:line="240" w:lineRule="auto"/>
        <w:jc w:val="both"/>
        <w:rPr>
          <w:rFonts w:ascii="Calibri" w:eastAsia="Times New Roman" w:hAnsi="Calibri" w:cs="Calibri"/>
          <w:i/>
          <w:color w:val="2E74B5"/>
          <w:kern w:val="0"/>
          <w:lang w:eastAsia="el-GR"/>
          <w14:ligatures w14:val="none"/>
        </w:rPr>
      </w:pPr>
      <w:r w:rsidRPr="00331AC2">
        <w:rPr>
          <w:rFonts w:ascii="Calibri" w:eastAsia="Times New Roman" w:hAnsi="Calibri" w:cs="Calibri"/>
          <w:kern w:val="0"/>
          <w:lang w:eastAsia="el-GR"/>
          <w14:ligatures w14:val="none"/>
        </w:rPr>
        <w:t xml:space="preserve">11.1.Η παρούσα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4.5 της της με αρ. πρωτ. ΕΛΚΕ ………../….-….-2025  (ΑΔΑΜ: ……………………….) Διακήρυξης. </w:t>
      </w:r>
    </w:p>
    <w:p w14:paraId="0CC0A8D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561A6E8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11.2. Τροποποίηση των όρων της παρούσας σύμβασης γίνεται μόνο με μεταγενέστερη γραπτή και ρητή συμφωνία των μερών και σύμφωνα με τα οριζόμενα στο άρθρο 132 του ν.4412/2016.</w:t>
      </w:r>
    </w:p>
    <w:p w14:paraId="4F0F7894"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1F919471"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2EF88240"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12</w:t>
      </w:r>
    </w:p>
    <w:p w14:paraId="0EA9AADE"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Ανωτέρα Βία</w:t>
      </w:r>
    </w:p>
    <w:p w14:paraId="1E0CC36B" w14:textId="77777777" w:rsidR="00331AC2" w:rsidRPr="00331AC2" w:rsidRDefault="00331AC2" w:rsidP="00331AC2">
      <w:pPr>
        <w:suppressAutoHyphens/>
        <w:spacing w:after="0" w:line="240" w:lineRule="auto"/>
        <w:jc w:val="center"/>
        <w:rPr>
          <w:rFonts w:ascii="Calibri" w:eastAsia="Times New Roman" w:hAnsi="Calibri" w:cs="Calibri"/>
          <w:kern w:val="0"/>
          <w:lang w:eastAsia="el-GR"/>
          <w14:ligatures w14:val="none"/>
        </w:rPr>
      </w:pPr>
    </w:p>
    <w:p w14:paraId="6AB19F42"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12.1.Τα συμβαλλόμενα μέρη δεν ευθύνονται για τη μη εκπλήρωση των συμβατικών τους υποχρεώσεων, στο μέτρο που η αδυναμία εκπλήρωσης οφείλεται σε περιστατικά ανωτέρας βίας. </w:t>
      </w:r>
    </w:p>
    <w:p w14:paraId="3B379A71"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lastRenderedPageBreak/>
        <w:t xml:space="preserve">12.2.Ο Ανάδοχος, επικαλούμενος υπαγωγή της αδυναμίας εκπλήρωσης υποχρεώσεών του σε γεγονός που εμπίπτει στην έννοια της ανωτέρας βίας, οφείλει να γνωστοποιήσει και επικαλεστεί προς την Αναθέτουσα Αρχή τους σχετικούς λόγους και περιστατικά εντός αποσβεστικής προθεσμίας είκοσι (20) ημερών από τότε που συνέβησαν, προσκομίζοντας τα απαραίτητα αποδεικτικά στοιχεία. Η Αναθέτουσα Αρχή αποφασίζει μετά από γνωμοδότηση του αρμόδιου οργάνου. </w:t>
      </w:r>
    </w:p>
    <w:p w14:paraId="5F2CB75E"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Μόνο η έγγραφη αναγνώριση από την Αναθέτουσα Αρχή του λόγου  ανωτέρας βίας που επικαλείται ο Ανάδοχος, τον απαλλάσσει από τις συνέπειες της εκπρόθεσμης ή μη κατάλληλα εκπλήρωσης της προμήθειας.</w:t>
      </w:r>
    </w:p>
    <w:p w14:paraId="51837494"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3B1C2D0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42F84886"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4A03147F"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7336217A"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13</w:t>
      </w:r>
    </w:p>
    <w:p w14:paraId="7EAF4140"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Ολοκλήρωση συμβατικού αντικειμένου</w:t>
      </w:r>
    </w:p>
    <w:p w14:paraId="24671EE0" w14:textId="77777777" w:rsidR="00331AC2" w:rsidRPr="00331AC2" w:rsidRDefault="00331AC2" w:rsidP="00331AC2">
      <w:pPr>
        <w:suppressAutoHyphens/>
        <w:spacing w:after="0" w:line="240" w:lineRule="auto"/>
        <w:jc w:val="center"/>
        <w:rPr>
          <w:rFonts w:ascii="Calibri" w:eastAsia="Times New Roman" w:hAnsi="Calibri" w:cs="Calibri"/>
          <w:kern w:val="0"/>
          <w:lang w:eastAsia="el-GR"/>
          <w14:ligatures w14:val="none"/>
        </w:rPr>
      </w:pPr>
    </w:p>
    <w:p w14:paraId="23183D23"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Η σύμβαση θεωρείται ότι έχει ολοκληρωθεί, όταν παραληφθούν οριστικά, ποσοτικά και ποιοτικά, τα αγαθά που παραδόθηκαν, αποπληρωθεί το συμβατικό τίμημα και εκπληρωθούν και οι τυχόν λοιπές συμβατικές ή νόμιμες υποχρεώσεις και από τα δύο συμβαλλόμενα μέρη και αποδεσμευτούν οι σχετικές εγγυήσεις κατά τα προβλεπόμενα στη σύμβαση. </w:t>
      </w:r>
    </w:p>
    <w:p w14:paraId="73EE1F4F"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σύμβαση λύεται αυτοδικαίως και πριν την πάροδο της χρονικής διάρκειάς της, όταν υπάρχει σε βάρος της Αναδόχου αμετάκλητη καταδικαστική απόφαση για έναν από τους ακόλουθους λόγους:</w:t>
      </w:r>
    </w:p>
    <w:p w14:paraId="1134115D"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w:t>
      </w:r>
      <w:r w:rsidRPr="00331AC2">
        <w:rPr>
          <w:rFonts w:ascii="Calibri" w:eastAsia="Times New Roman" w:hAnsi="Calibri" w:cs="Calibri"/>
          <w:kern w:val="0"/>
          <w:lang w:val="en-GB" w:eastAsia="el-GR"/>
          <w14:ligatures w14:val="none"/>
        </w:rPr>
        <w:t>L</w:t>
      </w:r>
      <w:r w:rsidRPr="00331AC2">
        <w:rPr>
          <w:rFonts w:ascii="Calibri" w:eastAsia="Times New Roman" w:hAnsi="Calibri" w:cs="Calibri"/>
          <w:kern w:val="0"/>
          <w:lang w:eastAsia="el-GR"/>
          <w14:ligatures w14:val="none"/>
        </w:rPr>
        <w:t xml:space="preserve"> 300 της 11.11.2008 σ.42), και τα εγκλήματα του άρθρου 187 του Ποινικού Κώδικα (εγκληματική οργάνωση),</w:t>
      </w:r>
    </w:p>
    <w:p w14:paraId="158AD369"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w:t>
      </w:r>
      <w:r w:rsidRPr="00331AC2">
        <w:rPr>
          <w:rFonts w:ascii="Calibri" w:eastAsia="Times New Roman" w:hAnsi="Calibri" w:cs="Calibri"/>
          <w:kern w:val="0"/>
          <w:lang w:val="en-GB" w:eastAsia="el-GR"/>
          <w14:ligatures w14:val="none"/>
        </w:rPr>
        <w:t>C</w:t>
      </w:r>
      <w:r w:rsidRPr="00331AC2">
        <w:rPr>
          <w:rFonts w:ascii="Calibri" w:eastAsia="Times New Roman" w:hAnsi="Calibri" w:cs="Calibri"/>
          <w:kern w:val="0"/>
          <w:lang w:eastAsia="el-GR"/>
          <w14:ligatures w14:val="none"/>
        </w:rPr>
        <w:t xml:space="preserve">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w:t>
      </w:r>
      <w:r w:rsidRPr="00331AC2">
        <w:rPr>
          <w:rFonts w:ascii="Calibri" w:eastAsia="Times New Roman" w:hAnsi="Calibri" w:cs="Calibri"/>
          <w:kern w:val="0"/>
          <w:lang w:val="en-GB" w:eastAsia="el-GR"/>
          <w14:ligatures w14:val="none"/>
        </w:rPr>
        <w:t>L</w:t>
      </w:r>
      <w:r w:rsidRPr="00331AC2">
        <w:rPr>
          <w:rFonts w:ascii="Calibri" w:eastAsia="Times New Roman" w:hAnsi="Calibri" w:cs="Calibri"/>
          <w:kern w:val="0"/>
          <w:lang w:eastAsia="el-GR"/>
          <w14:ligatures w14:val="none"/>
        </w:rPr>
        <w:t xml:space="preserve">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14:paraId="09DD2695"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w:t>
      </w:r>
      <w:r w:rsidRPr="00331AC2">
        <w:rPr>
          <w:rFonts w:ascii="Calibri" w:eastAsia="Times New Roman" w:hAnsi="Calibri" w:cs="Calibri"/>
          <w:kern w:val="0"/>
          <w:lang w:val="en-GB" w:eastAsia="el-GR"/>
          <w14:ligatures w14:val="none"/>
        </w:rPr>
        <w:t>L</w:t>
      </w:r>
      <w:r w:rsidRPr="00331AC2">
        <w:rPr>
          <w:rFonts w:ascii="Calibri" w:eastAsia="Times New Roman" w:hAnsi="Calibri" w:cs="Calibri"/>
          <w:kern w:val="0"/>
          <w:lang w:eastAsia="el-GR"/>
          <w14:ligatures w14:val="none"/>
        </w:rPr>
        <w:t xml:space="preserve"> 198/28.07.2017) και τα εγκλήματα των άρθρων 159Α (δωροδοκία πολιτικών </w:t>
      </w:r>
      <w:r w:rsidRPr="00331AC2">
        <w:rPr>
          <w:rFonts w:ascii="Calibri" w:eastAsia="Times New Roman" w:hAnsi="Calibri" w:cs="Calibri"/>
          <w:kern w:val="0"/>
          <w:lang w:eastAsia="el-GR"/>
          <w14:ligatures w14:val="none"/>
        </w:rPr>
        <w:lastRenderedPageBreak/>
        <w:t>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επ.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14:paraId="041DE7E4"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w:t>
      </w:r>
      <w:r w:rsidRPr="00331AC2">
        <w:rPr>
          <w:rFonts w:ascii="Calibri" w:eastAsia="Times New Roman" w:hAnsi="Calibri" w:cs="Calibri"/>
          <w:kern w:val="0"/>
          <w:lang w:val="en-GB" w:eastAsia="el-GR"/>
          <w14:ligatures w14:val="none"/>
        </w:rPr>
        <w:t>L</w:t>
      </w:r>
      <w:r w:rsidRPr="00331AC2">
        <w:rPr>
          <w:rFonts w:ascii="Calibri" w:eastAsia="Times New Roman" w:hAnsi="Calibri" w:cs="Calibri"/>
          <w:kern w:val="0"/>
          <w:lang w:eastAsia="el-GR"/>
          <w14:ligatures w14:val="none"/>
        </w:rPr>
        <w:t xml:space="preserve">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14:paraId="0A55CD6E"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sidRPr="00331AC2">
        <w:rPr>
          <w:rFonts w:ascii="Calibri" w:eastAsia="Times New Roman" w:hAnsi="Calibri" w:cs="Calibri"/>
          <w:kern w:val="0"/>
          <w:lang w:val="en-GB" w:eastAsia="el-GR"/>
          <w14:ligatures w14:val="none"/>
        </w:rPr>
        <w:t>L</w:t>
      </w:r>
      <w:r w:rsidRPr="00331AC2">
        <w:rPr>
          <w:rFonts w:ascii="Calibri" w:eastAsia="Times New Roman" w:hAnsi="Calibri" w:cs="Calibri"/>
          <w:kern w:val="0"/>
          <w:lang w:eastAsia="el-GR"/>
          <w14:ligatures w14:val="none"/>
        </w:rPr>
        <w:t xml:space="preserve"> 141/05.06.2015) και τα εγκλήματα των άρθρων 2 και 39 του ν. 4557/2018 (Α’ 139), </w:t>
      </w:r>
    </w:p>
    <w:p w14:paraId="18B69FE6"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331AC2">
        <w:rPr>
          <w:rFonts w:ascii="Calibri" w:eastAsia="Times New Roman" w:hAnsi="Calibri" w:cs="Calibri"/>
          <w:kern w:val="0"/>
          <w:lang w:val="en-GB" w:eastAsia="el-GR"/>
          <w14:ligatures w14:val="none"/>
        </w:rPr>
        <w:t>L</w:t>
      </w:r>
      <w:r w:rsidRPr="00331AC2">
        <w:rPr>
          <w:rFonts w:ascii="Calibri" w:eastAsia="Times New Roman" w:hAnsi="Calibri" w:cs="Calibri"/>
          <w:kern w:val="0"/>
          <w:lang w:eastAsia="el-GR"/>
          <w14:ligatures w14:val="none"/>
        </w:rPr>
        <w:t xml:space="preserve"> 101 της 15.4.2011, σ. 1), και τα εγκλήματα του άρθρου 323Α του Ποινικού Κώδικα (εμπορία ανθρώπων).</w:t>
      </w:r>
    </w:p>
    <w:p w14:paraId="3120F11B"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bookmarkStart w:id="6" w:name="_Hlk198731330"/>
      <w:r w:rsidRPr="00331AC2">
        <w:rPr>
          <w:rFonts w:ascii="Calibri" w:eastAsia="Times New Roman" w:hAnsi="Calibri" w:cs="Calibri"/>
          <w:kern w:val="0"/>
          <w:lang w:eastAsia="el-GR"/>
          <w14:ligatures w14:val="none"/>
        </w:rPr>
        <w:t xml:space="preserve">Για την καλή εκτέλεση της παρούσας προσκομίστηκε από την Ανάδοχο η με αρ. </w:t>
      </w:r>
      <w:r w:rsidRPr="00331AC2">
        <w:rPr>
          <w:rFonts w:ascii="Calibri" w:eastAsia="Times New Roman" w:hAnsi="Calibri" w:cs="Calibri"/>
          <w:kern w:val="0"/>
          <w:lang w:val="en-GB" w:eastAsia="el-GR"/>
          <w14:ligatures w14:val="none"/>
        </w:rPr>
        <w:t>BTD</w:t>
      </w:r>
      <w:r w:rsidRPr="00331AC2">
        <w:rPr>
          <w:rFonts w:ascii="Calibri" w:eastAsia="Times New Roman" w:hAnsi="Calibri" w:cs="Calibri"/>
          <w:kern w:val="0"/>
          <w:lang w:eastAsia="el-GR"/>
          <w14:ligatures w14:val="none"/>
        </w:rPr>
        <w:t>085033/</w:t>
      </w:r>
      <w:r w:rsidRPr="00331AC2">
        <w:rPr>
          <w:rFonts w:ascii="Calibri" w:eastAsia="Times New Roman" w:hAnsi="Calibri" w:cs="Calibri"/>
          <w:kern w:val="0"/>
          <w:lang w:val="en-GB" w:eastAsia="el-GR"/>
          <w14:ligatures w14:val="none"/>
        </w:rPr>
        <w:t>B</w:t>
      </w:r>
      <w:r w:rsidRPr="00331AC2">
        <w:rPr>
          <w:rFonts w:ascii="Calibri" w:eastAsia="Times New Roman" w:hAnsi="Calibri" w:cs="Calibri"/>
          <w:kern w:val="0"/>
          <w:lang w:eastAsia="el-GR"/>
          <w14:ligatures w14:val="none"/>
        </w:rPr>
        <w:t>’ εγγυητική επιστολή, ποσού είκοσι δύο χιλιάδων ευρώ (22.000,00 €), η οποία αντιστοιχεί σε ποσοστό 4% επί της εκτιμώμενης καθαρής αξίας της σύμβασης και η οποία ελέγχθηκε από το τμήμα προμήθειας αγαθών, υπηρεσιών και μισθώσεων του ΕΛΚΕ Πολυτεχνείου Κρήτης ως προς την εγκυρότητά της.</w:t>
      </w:r>
    </w:p>
    <w:bookmarkEnd w:id="6"/>
    <w:p w14:paraId="57CE5546"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p>
    <w:p w14:paraId="21AA4EAD"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14</w:t>
      </w:r>
    </w:p>
    <w:p w14:paraId="1D98FA12"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lastRenderedPageBreak/>
        <w:t>Δικαίωμα μονομερούς λύσης της σύμβασης</w:t>
      </w:r>
    </w:p>
    <w:p w14:paraId="10BE595C" w14:textId="77777777" w:rsidR="00331AC2" w:rsidRPr="00331AC2" w:rsidRDefault="00331AC2" w:rsidP="00331AC2">
      <w:pPr>
        <w:suppressAutoHyphens/>
        <w:spacing w:after="0" w:line="240" w:lineRule="auto"/>
        <w:jc w:val="both"/>
        <w:rPr>
          <w:rFonts w:ascii="Calibri" w:eastAsia="Times New Roman" w:hAnsi="Calibri" w:cs="Calibri"/>
          <w:kern w:val="0"/>
          <w:highlight w:val="green"/>
          <w:lang w:eastAsia="el-GR"/>
          <w14:ligatures w14:val="none"/>
        </w:rPr>
      </w:pPr>
    </w:p>
    <w:p w14:paraId="7176E992"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Αναθέτουσα Αρχή μπορεί, με τις προϋποθέσεις που ορίζονται στο άρθρο 4.6 της της με αρ. πρωτ. ΕΛΚΕ ………../….-….-2025  (ΑΔΑΜ: ……………………….) Διακήρυξης, να καταγγείλει τη σύμβαση κατά τη διάρκεια της εκτέλεσής της</w:t>
      </w:r>
      <w:r w:rsidRPr="00331AC2">
        <w:rPr>
          <w:rFonts w:ascii="Calibri" w:eastAsia="Times New Roman" w:hAnsi="Calibri" w:cs="Calibri"/>
          <w:kern w:val="0"/>
          <w:lang w:eastAsia="ar-SA"/>
          <w14:ligatures w14:val="none"/>
        </w:rPr>
        <w:t xml:space="preserve"> </w:t>
      </w:r>
      <w:r w:rsidRPr="00331AC2">
        <w:rPr>
          <w:rFonts w:ascii="Calibri" w:eastAsia="Times New Roman" w:hAnsi="Calibri" w:cs="Calibri"/>
          <w:kern w:val="0"/>
          <w:lang w:eastAsia="el-GR"/>
          <w14:ligatures w14:val="none"/>
        </w:rPr>
        <w:t>εφόσον:</w:t>
      </w:r>
    </w:p>
    <w:p w14:paraId="79EB8D5B"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14:paraId="5C9ADE0F"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β) ο ανάδοχος, κατά τον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14:paraId="3C45C4FC"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14:paraId="5BA2C1B9"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δ) ο ανάδοχος καταδικαστεί αμετάκλητα, κατά τη διάρκεια εκτέλεσης της σύμβασης, για ένα από τα αδικήματα που αναφέρονται στην παρ. 2.2.3.1 της παρούσας,</w:t>
      </w:r>
    </w:p>
    <w:p w14:paraId="0DEECFAB"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14:paraId="1DA19775"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Η αναθέτουσα αρχή μπορεί να μην καταγγείλει τη σύμβαση, υπό την προϋπόθεση ότι ο ανάδοχος ο οποίος θα βρεθεί σε μία από τις καταστάσεις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14:paraId="5B3C3027"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στ) ο ανάδοχος παραβεί αποδεδειγμένα τις υποχρεώσεις του που απορρέουν από τη δέσμευση ακεραιότητας της παρ. 4.3.3. της παρούσας, όπως αναλυτικά περιγράφονται στο συνημμένο στην παρούσα σχέδιο σύμβασης.</w:t>
      </w:r>
    </w:p>
    <w:p w14:paraId="2F104167"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p>
    <w:p w14:paraId="1DA9E237"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15</w:t>
      </w:r>
    </w:p>
    <w:p w14:paraId="19580AA2"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Εφαρμοστέο Δίκαιο – Επίλυση Διαφορών</w:t>
      </w:r>
    </w:p>
    <w:p w14:paraId="619CBA99" w14:textId="77777777" w:rsidR="00331AC2" w:rsidRPr="00331AC2" w:rsidRDefault="00331AC2" w:rsidP="00331AC2">
      <w:pPr>
        <w:suppressAutoHyphens/>
        <w:spacing w:after="0" w:line="240" w:lineRule="auto"/>
        <w:jc w:val="both"/>
        <w:rPr>
          <w:rFonts w:ascii="Calibri" w:eastAsia="Times New Roman" w:hAnsi="Calibri" w:cs="Calibri"/>
          <w:b/>
          <w:bCs/>
          <w:kern w:val="0"/>
          <w:lang w:eastAsia="el-GR"/>
          <w14:ligatures w14:val="none"/>
        </w:rPr>
      </w:pPr>
    </w:p>
    <w:p w14:paraId="54AF5FF0"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15.1. Η παρούσα διέπεται από το Ελληνικό Δίκαιο και ειδικότερα α) από το θεσμικό πλαίσιο που αναφέρεται στο άρθρο 1.4. της Διακήρυξης και β) τη Διακήρυξη και τα Έγγραφα της Σύμβασης.  </w:t>
      </w:r>
    </w:p>
    <w:p w14:paraId="67006AA7"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16087B2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15.2. Ο Ανάδοχος μπορεί κατά των αποφάσεων της Αναθέτουσας Αρχής που επιβάλλουν σε βάρος του κυρώσεις, δυνάμει των άρθρων της της με αρ. πρωτ. ΕΛΚΕ ………../….-….-2025  (ΑΔΑΜ: ……………………….) Διακήρυξης  5.2. (Κήρυξη οικονομικού φορέα εκπτώτου -Κυρώσεις), 6.1. (Χρόνος παράδοσης υλικών),6.4. (Απόρριψη </w:t>
      </w:r>
      <w:r w:rsidRPr="00331AC2">
        <w:rPr>
          <w:rFonts w:ascii="Calibri" w:eastAsia="Times New Roman" w:hAnsi="Calibri" w:cs="Calibri"/>
          <w:kern w:val="0"/>
          <w:lang w:eastAsia="el-GR"/>
          <w14:ligatures w14:val="none"/>
        </w:rPr>
        <w:lastRenderedPageBreak/>
        <w:t xml:space="preserve">συμβατικών υλικών –αντικατάσταση),  να ασκήσει τα δικαιώματα του άρθρου 5.3. της Διακήρυξης, υπό τους όρους και προϋποθέσεις που ορίζονται σε αυτό. </w:t>
      </w:r>
    </w:p>
    <w:p w14:paraId="5E699C5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149FF4FA"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15.3. Κατά την εκτέλεση της σύμβασης, κάθε διαφορά που προκύπτει αναφορικά με την ερμηνεία και/ή το κύρος και/ή  την εκτέλεση της παρούσας, ή εξ αφορμής της,  επιλύονται σύμφωνα με το άρθρο 5.4. της με αρ. πρωτ. ΕΛΚΕ ………../….-….-2025  (ΑΔΑΜ: ……………………….) Διακήρυξης. </w:t>
      </w:r>
    </w:p>
    <w:p w14:paraId="5785CAD9" w14:textId="77777777" w:rsidR="00331AC2" w:rsidRPr="00331AC2" w:rsidRDefault="00331AC2" w:rsidP="00331AC2">
      <w:pPr>
        <w:suppressAutoHyphens/>
        <w:spacing w:after="0" w:line="240" w:lineRule="auto"/>
        <w:jc w:val="both"/>
        <w:rPr>
          <w:rFonts w:ascii="Calibri" w:eastAsia="Times New Roman" w:hAnsi="Calibri" w:cs="Calibri"/>
          <w:kern w:val="0"/>
          <w:lang w:eastAsia="el-GR"/>
          <w14:ligatures w14:val="none"/>
        </w:rPr>
      </w:pPr>
    </w:p>
    <w:p w14:paraId="42C3D13B" w14:textId="77777777" w:rsidR="00331AC2" w:rsidRPr="00331AC2" w:rsidRDefault="00331AC2" w:rsidP="00331AC2">
      <w:pPr>
        <w:suppressAutoHyphens/>
        <w:spacing w:after="12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16</w:t>
      </w:r>
    </w:p>
    <w:p w14:paraId="6D3E9B93" w14:textId="77777777" w:rsidR="00331AC2" w:rsidRPr="00331AC2" w:rsidRDefault="00331AC2" w:rsidP="00331AC2">
      <w:pPr>
        <w:suppressAutoHyphens/>
        <w:spacing w:after="12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Συμμόρφωση με τον Κανονισμό ΕΕ/2016/2019 και τον ν. 4624/2019 (Α 137)</w:t>
      </w:r>
      <w:r w:rsidRPr="00331AC2">
        <w:rPr>
          <w:rFonts w:ascii="Calibri" w:eastAsia="Times New Roman" w:hAnsi="Calibri" w:cs="Calibri"/>
          <w:b/>
          <w:bCs/>
          <w:kern w:val="0"/>
          <w:vertAlign w:val="superscript"/>
          <w:lang w:val="en-GB" w:eastAsia="el-GR"/>
          <w14:ligatures w14:val="none"/>
        </w:rPr>
        <w:footnoteReference w:id="4"/>
      </w:r>
      <w:r w:rsidRPr="00331AC2">
        <w:rPr>
          <w:rFonts w:ascii="Calibri" w:eastAsia="Times New Roman" w:hAnsi="Calibri" w:cs="Calibri"/>
          <w:b/>
          <w:bCs/>
          <w:kern w:val="0"/>
          <w:lang w:eastAsia="el-GR"/>
          <w14:ligatures w14:val="none"/>
        </w:rPr>
        <w:t xml:space="preserve"> </w:t>
      </w:r>
    </w:p>
    <w:p w14:paraId="15E339C3"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Τα αντισυμβαλλόμενα μέρη αναλαμβάνουν να τηρούν τις υποχρεώσεις που απορρέουν από την εφαρμογή του Κανονισμού (ΕΕ) 2016/679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Προστασίας Δεδομένων / </w:t>
      </w:r>
      <w:r w:rsidRPr="00331AC2">
        <w:rPr>
          <w:rFonts w:ascii="Calibri" w:eastAsia="Times New Roman" w:hAnsi="Calibri" w:cs="Calibri"/>
          <w:kern w:val="0"/>
          <w:lang w:val="en-GB" w:eastAsia="el-GR"/>
          <w14:ligatures w14:val="none"/>
        </w:rPr>
        <w:t>General</w:t>
      </w:r>
      <w:r w:rsidRPr="00331AC2">
        <w:rPr>
          <w:rFonts w:ascii="Calibri" w:eastAsia="Times New Roman" w:hAnsi="Calibri" w:cs="Calibri"/>
          <w:kern w:val="0"/>
          <w:lang w:eastAsia="el-GR"/>
          <w14:ligatures w14:val="none"/>
        </w:rPr>
        <w:t xml:space="preserve"> </w:t>
      </w:r>
      <w:r w:rsidRPr="00331AC2">
        <w:rPr>
          <w:rFonts w:ascii="Calibri" w:eastAsia="Times New Roman" w:hAnsi="Calibri" w:cs="Calibri"/>
          <w:kern w:val="0"/>
          <w:lang w:val="en-GB" w:eastAsia="el-GR"/>
          <w14:ligatures w14:val="none"/>
        </w:rPr>
        <w:t>Data</w:t>
      </w:r>
      <w:r w:rsidRPr="00331AC2">
        <w:rPr>
          <w:rFonts w:ascii="Calibri" w:eastAsia="Times New Roman" w:hAnsi="Calibri" w:cs="Calibri"/>
          <w:kern w:val="0"/>
          <w:lang w:eastAsia="el-GR"/>
          <w14:ligatures w14:val="none"/>
        </w:rPr>
        <w:t xml:space="preserve"> </w:t>
      </w:r>
      <w:r w:rsidRPr="00331AC2">
        <w:rPr>
          <w:rFonts w:ascii="Calibri" w:eastAsia="Times New Roman" w:hAnsi="Calibri" w:cs="Calibri"/>
          <w:kern w:val="0"/>
          <w:lang w:val="en-GB" w:eastAsia="el-GR"/>
          <w14:ligatures w14:val="none"/>
        </w:rPr>
        <w:t>Protection</w:t>
      </w:r>
      <w:r w:rsidRPr="00331AC2">
        <w:rPr>
          <w:rFonts w:ascii="Calibri" w:eastAsia="Times New Roman" w:hAnsi="Calibri" w:cs="Calibri"/>
          <w:kern w:val="0"/>
          <w:lang w:eastAsia="el-GR"/>
          <w14:ligatures w14:val="none"/>
        </w:rPr>
        <w:t xml:space="preserve"> </w:t>
      </w:r>
      <w:r w:rsidRPr="00331AC2">
        <w:rPr>
          <w:rFonts w:ascii="Calibri" w:eastAsia="Times New Roman" w:hAnsi="Calibri" w:cs="Calibri"/>
          <w:kern w:val="0"/>
          <w:lang w:val="en-GB" w:eastAsia="el-GR"/>
          <w14:ligatures w14:val="none"/>
        </w:rPr>
        <w:t>Regulation</w:t>
      </w:r>
      <w:r w:rsidRPr="00331AC2">
        <w:rPr>
          <w:rFonts w:ascii="Calibri" w:eastAsia="Times New Roman" w:hAnsi="Calibri" w:cs="Calibri"/>
          <w:kern w:val="0"/>
          <w:lang w:eastAsia="el-GR"/>
          <w14:ligatures w14:val="none"/>
        </w:rPr>
        <w:t xml:space="preserve"> – </w:t>
      </w:r>
      <w:r w:rsidRPr="00331AC2">
        <w:rPr>
          <w:rFonts w:ascii="Calibri" w:eastAsia="Times New Roman" w:hAnsi="Calibri" w:cs="Calibri"/>
          <w:kern w:val="0"/>
          <w:lang w:val="en-GB" w:eastAsia="el-GR"/>
          <w14:ligatures w14:val="none"/>
        </w:rPr>
        <w:t>GDPR</w:t>
      </w:r>
      <w:r w:rsidRPr="00331AC2">
        <w:rPr>
          <w:rFonts w:ascii="Calibri" w:eastAsia="Times New Roman" w:hAnsi="Calibri" w:cs="Calibri"/>
          <w:kern w:val="0"/>
          <w:lang w:eastAsia="el-GR"/>
          <w14:ligatures w14:val="none"/>
        </w:rPr>
        <w:t>) και του ν. 4624/2019. Ειδικότερα:</w:t>
      </w:r>
    </w:p>
    <w:p w14:paraId="492B9BEC"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b/>
          <w:kern w:val="0"/>
          <w:lang w:eastAsia="el-GR"/>
          <w14:ligatures w14:val="none"/>
        </w:rPr>
        <w:t>Α)</w:t>
      </w:r>
      <w:r w:rsidRPr="00331AC2">
        <w:rPr>
          <w:rFonts w:ascii="Calibri" w:eastAsia="Times New Roman" w:hAnsi="Calibri" w:cs="Calibri"/>
          <w:kern w:val="0"/>
          <w:lang w:eastAsia="el-GR"/>
          <w14:ligatures w14:val="none"/>
        </w:rPr>
        <w:t xml:space="preserve"> Ως προς την επεξεργασία από την Αναθέτουσα Αρχή των προσωπικών δεδομένων του Αναδόχου συμπεριλαμβανομένων των προστηθέντων</w:t>
      </w:r>
      <w:r w:rsidRPr="00331AC2">
        <w:rPr>
          <w:rFonts w:ascii="Calibri" w:eastAsia="Times New Roman" w:hAnsi="Calibri" w:cs="Calibri"/>
          <w:strike/>
          <w:kern w:val="0"/>
          <w:lang w:eastAsia="el-GR"/>
          <w14:ligatures w14:val="none"/>
        </w:rPr>
        <w:t>/</w:t>
      </w:r>
      <w:r w:rsidRPr="00331AC2">
        <w:rPr>
          <w:rFonts w:ascii="Calibri" w:eastAsia="Times New Roman" w:hAnsi="Calibri" w:cs="Calibri"/>
          <w:kern w:val="0"/>
          <w:lang w:eastAsia="el-GR"/>
          <w14:ligatures w14:val="none"/>
        </w:rPr>
        <w:t>συνεργατών/δανειζόντων εμπειρία/υπεργολάβων του, ισχύουν τα παρακάτω:</w:t>
      </w:r>
    </w:p>
    <w:p w14:paraId="29097B69"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Ο Ανάδοχος συναινεί στο πλαίσιο της διαδικασίας εκτέλεσης της παρούσας δημόσιας σύμβασης και επιτρέπει στην Αναθέτουσα Αρχή να προβεί σε αναζήτηση-επιβεβαίωση όλων των αναγκαίων δικαιολογητικών, καθώς και στην αναγκαία επεξεργασία και διατήρηση δεδομένων προσωπικού χαρακτήρα και στην ανταλλαγή πληροφοριών με άλλες δημόσιες αρχές.</w:t>
      </w:r>
    </w:p>
    <w:p w14:paraId="6BD03A57"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Αναθέτουσα Αρχή αποθηκεύει και επεξεργάζεται τα στοιχεία προσωπικών δεδομένων του Αναδόχου που είναι αναγκαία για την εκτέλεση της σύμβασης,  την εκπλήρωση των μεταξύ τους συναλλαγών και την εν γένει συμμόρφωσή της με νόμιμη υποχρέωση, σε έγχαρτο αρχείο και σε ηλεκτρονική βάση με υψηλά χαρακτηριστικά ασφαλείας με πρόσβαση αυστηρώς και μόνο σε εξουσιοδοτημένα πρόσωπα</w:t>
      </w:r>
      <w:r w:rsidRPr="00331AC2">
        <w:rPr>
          <w:rFonts w:ascii="Calibri" w:eastAsia="Times New Roman" w:hAnsi="Calibri" w:cs="Calibri"/>
          <w:kern w:val="0"/>
          <w:lang w:eastAsia="ar-SA"/>
          <w14:ligatures w14:val="none"/>
        </w:rPr>
        <w:t xml:space="preserve"> </w:t>
      </w:r>
      <w:r w:rsidRPr="00331AC2">
        <w:rPr>
          <w:rFonts w:ascii="Calibri" w:eastAsia="Times New Roman" w:hAnsi="Calibri" w:cs="Calibri"/>
          <w:kern w:val="0"/>
          <w:lang w:eastAsia="el-GR"/>
          <w14:ligatures w14:val="none"/>
        </w:rPr>
        <w:t>ή παρόχους υπηρεσιών στους οποίους αναθέτει την εκτέλεση συγκεκριμένων εργασιών για λογαριασμό της και οι οποίοι διενεργούν πράξεις επεξεργασίας προσωπικών δεδομένων.</w:t>
      </w:r>
    </w:p>
    <w:p w14:paraId="2E5B1B96"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Η Αναθέτουσα Αρχή θα προβεί σε συλλογή και επεξεργασία (π.χ. συλλογή, καταχώριση, οργάνωση,  αποθήκευση, μεταβολή, διαγραφή, καταστροφή κ.λπ.), για τους ανωτέρω αναφερόμενους σκοπούς, των δεδομένων προσωπικού χαρακτήρα όπως: (α) επίσημων στοιχείων ταυτοποίησης, (β) στοιχείων επικοινωνίας, (γ) δεδομένων και πληροφοριών κοινωνικοασφαλιστικών και φορολογικών απαιτήσεων, (δ) γενικών πληροφοριών, (ε) στοιχείων πληρωμής, χρηματοοικονομικών πληροφοριών και λογαριασμών, (στ) δεδομένων ειδικής κατηγορίας, των οποίων η συλλογή και επεξεργασία επιβάλλεται από τους όρους </w:t>
      </w:r>
      <w:r w:rsidRPr="00331AC2">
        <w:rPr>
          <w:rFonts w:ascii="Calibri" w:eastAsia="Times New Roman" w:hAnsi="Calibri" w:cs="Calibri"/>
          <w:kern w:val="0"/>
          <w:lang w:eastAsia="el-GR"/>
          <w14:ligatures w14:val="none"/>
        </w:rPr>
        <w:lastRenderedPageBreak/>
        <w:t>εκτέλεσης της σύμβασης, σκοπούς αρχειοθέτησης προς το δημόσιο συμφέρον, ή στατιστικούς σκοπούς.</w:t>
      </w:r>
    </w:p>
    <w:p w14:paraId="783E0642"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Τα προσωπικά δεδομένα του Αναδόχου και των συνεργατών του (συμπεριλαμβανομένων των δανειζόντων εμπειρία/υπεργολάβων) αποθηκεύονται για χρονικό διάστημα ίσο με τη διάρκεια της εκτέλεσης της σύμβασης και μετά τη λήξη αυτής για χρονικό διάστημα πέντε ετών εκτός εάν η νομοθεσία προβλέπει διαφορετική περίοδο διατήρησης. Σε περίπτωση εκκρεμοδικίας σχετικά με δημόσια σύμβαση, τα δεδομένα τηρούνται μέχρι το πέρας της εκκρεμοδικίας.</w:t>
      </w:r>
    </w:p>
    <w:p w14:paraId="7E82F7BA"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Καθ’ όλη την διάρκεια που η Αναθέτουσα Αρχή τηρεί και επεξεργάζεται τα προσωπικά δεδομένα ο Ανάδοχος έχει το δικαίωμα πρόσβασης, φορητότητας, διόρθωσης, περιορισμού της επεξεργασίας, διαγραφής</w:t>
      </w:r>
      <w:r w:rsidRPr="00331AC2">
        <w:rPr>
          <w:rFonts w:ascii="Calibri" w:eastAsia="Times New Roman" w:hAnsi="Calibri" w:cs="Calibri"/>
          <w:kern w:val="0"/>
          <w:lang w:eastAsia="ar-SA"/>
          <w14:ligatures w14:val="none"/>
        </w:rPr>
        <w:t xml:space="preserve"> </w:t>
      </w:r>
      <w:r w:rsidRPr="00331AC2">
        <w:rPr>
          <w:rFonts w:ascii="Calibri" w:eastAsia="Times New Roman" w:hAnsi="Calibri" w:cs="Calibri"/>
          <w:kern w:val="0"/>
          <w:lang w:eastAsia="el-GR"/>
          <w14:ligatures w14:val="none"/>
        </w:rPr>
        <w:t>ή και εναντίωσης υπό συγκεκριμένες προϋποθέσεις, στην επεξεργασία δεδομένων προσωπικού χαρακτήρα.</w:t>
      </w:r>
    </w:p>
    <w:p w14:paraId="01668E30"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Δεν επιτρέπεται η επεξεργασία δεδομένων προσωπικού χαρακτήρα για σκοπό διαφορετικό από αυτόν για τον οποίο έχουν συλλεχθεί, παρά μόνον υπό τους όρους και προϋποθέσεις του άρθρου 24 του ν. 4624/2019.</w:t>
      </w:r>
    </w:p>
    <w:p w14:paraId="56698567"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Η διαβίβαση δεδομένων προσωπικού χαρακτήρα από την Αναθέτουσα Αρχή σε άλλο δημόσιο φορέα επιτρέπεται σύμφωνα με το άρθρο 26 του ως άνω νόμου, εφόσον είναι απαραίτητο για την εκτέλεση των καθηκόντων της ή του τρίτου φορέα στον οποίο διαβιβάζονται τα δεδομένα και εφόσον πληρούνται οι προϋποθέσεις που επιτρέπουν την επεξεργασία, σύμφωνα με το άρθρο 24 του ίδιου νόμου.</w:t>
      </w:r>
    </w:p>
    <w:p w14:paraId="292FA294"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val="en-GB" w:eastAsia="el-GR"/>
          <w14:ligatures w14:val="none"/>
        </w:rPr>
        <w:t>B</w:t>
      </w:r>
      <w:r w:rsidRPr="00331AC2">
        <w:rPr>
          <w:rFonts w:ascii="Calibri" w:eastAsia="Times New Roman" w:hAnsi="Calibri" w:cs="Calibri"/>
          <w:kern w:val="0"/>
          <w:lang w:eastAsia="el-GR"/>
          <w14:ligatures w14:val="none"/>
        </w:rPr>
        <w:t xml:space="preserve">. Ως προς την επεξεργασία από τον Ανάδοχο προσωπικών δεδομένων στο πλαίσιο εκτέλεσης των συμβατικών του υποχρεώσεων ισχύουν οι διατάξεις του άρθρου 28 του του Γενικού Κανονισμού για την προστασία δεδομένων (ΓΚΠΔ). Ειδικότερα, ισχύουν τα ακόλουθα: </w:t>
      </w:r>
    </w:p>
    <w:p w14:paraId="237CC4C2"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ο Ανάδοχος (εκτελών την επεξεργασία)</w:t>
      </w:r>
    </w:p>
    <w:p w14:paraId="04951AC6"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α) επεξεργάζεται τα δεδομένα προσωπικού χαρακτήρα μόνο βάσει καταγεγραμμένων εντολών της Αναθέτουσας Αρχής (υπεύθυνος επεξεργασίας), </w:t>
      </w:r>
    </w:p>
    <w:p w14:paraId="6730DEAA"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β) διασφαλίζει ότι τα πρόσωπα που είναι εξουσιοδοτημένα να επεξεργάζονται τα δεδομένα προσωπικού χαρακτήρα έχουν αναλάβει δέσμευση τήρησης εμπιστευτικότητας ή τελούν υπό τη δέουσα κανονιστική υποχρέωση τήρησης εμπιστευτικότητας, </w:t>
      </w:r>
    </w:p>
    <w:p w14:paraId="58DB1D90"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γ) λαμβάνει όλα τα απαιτούμενα μέτρα δυνάμει του άρθρου 32  του ΓΚΠΔ, </w:t>
      </w:r>
    </w:p>
    <w:p w14:paraId="6909F62D"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δ) τηρεί τους όρους που αναφέρονται στις παραγράφους 2 και 4 για την πρόσληψη άλλου εκτελούντος την επεξεργασία, </w:t>
      </w:r>
    </w:p>
    <w:p w14:paraId="3E360685"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ε) λαμβάνει υπόψη τη φύση της επεξεργασίας και επικουρεί τον υπεύθυνο επεξεργασίας με τα κατάλληλα τεχνικά και οργανωτικά μέτρα, στον βαθμό που αυτό είναι δυνατό, για την εκπλήρωση της υποχρέωσης του υπευθύνου επεξεργασίας να απαντά σε αιτήματα για άσκηση των προβλεπόμενων στο κεφάλαιο </w:t>
      </w:r>
      <w:r w:rsidRPr="00331AC2">
        <w:rPr>
          <w:rFonts w:ascii="Calibri" w:eastAsia="Times New Roman" w:hAnsi="Calibri" w:cs="Calibri"/>
          <w:kern w:val="0"/>
          <w:lang w:val="en-GB" w:eastAsia="el-GR"/>
          <w14:ligatures w14:val="none"/>
        </w:rPr>
        <w:t>III</w:t>
      </w:r>
      <w:r w:rsidRPr="00331AC2">
        <w:rPr>
          <w:rFonts w:ascii="Calibri" w:eastAsia="Times New Roman" w:hAnsi="Calibri" w:cs="Calibri"/>
          <w:kern w:val="0"/>
          <w:lang w:eastAsia="el-GR"/>
          <w14:ligatures w14:val="none"/>
        </w:rPr>
        <w:t xml:space="preserve"> δικαιωμάτων του υποκειμένου των δεδομένων, </w:t>
      </w:r>
    </w:p>
    <w:p w14:paraId="39A504EB"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lastRenderedPageBreak/>
        <w:t xml:space="preserve">στ) συνδράμει τον υπεύθυνο επεξεργασίας στη διασφάλιση της συμμόρφωσης προς τις υποχρεώσεις που απορρέουν από τα άρθρα 32 έως 36 του ΓΚΠΔ, λαμβάνοντας υπόψη τη φύση της επεξεργασίας και τις πληροφορίες που διαθέτει ο εκτελών την επεξεργασία, </w:t>
      </w:r>
    </w:p>
    <w:p w14:paraId="0ABA74BB"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ζ) κατ’ επιλογή του υπευθύνου επεξεργασίας (Αναθέτουσα Αρχή), διαγράφει ή επιστρέφει όλα τα δεδομένα προσωπικού χαρακτήρα στον υπεύθυνο επεξεργασίας μετά το πέρας της παροχής υπηρεσιών επεξεργασίας και διαγράφει τα υφιστάμενα αντίγραφα, εκτός εάν το δίκαιο της Ένωσης ή του κράτους μέλους απαιτεί την αποθήκευση των δεδομένων προσωπικού χαρακτήρα, </w:t>
      </w:r>
    </w:p>
    <w:p w14:paraId="2E1CD6BE"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η) θέτει στη διάθεση του υπευθύνου επεξεργασίας κάθε απαραίτητη πληροφορία προς απόδειξη της συμμόρφωσης προς τις υποχρεώσεις που θεσπίζονται στο παρόν άρθρο και επιτρέπει και διευκολύνει τους ελέγχους, περιλαμβανομένων των επιθεωρήσεων, που διενεργούνται από τον υπεύθυνο επεξεργασίας ή από άλλον ελεγκτή εντεταλμένο από τον υπεύθυνο επεξεργασίας. </w:t>
      </w:r>
    </w:p>
    <w:p w14:paraId="23670254"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ι) δεν προσλαμβάνει άλλον εκτελούντα την επεξεργασία χωρίς προηγούμενη ειδική ή γενική γραπτή άδεια του υπευθύνου επεξεργασίας. </w:t>
      </w:r>
    </w:p>
    <w:p w14:paraId="41D1190C" w14:textId="77777777" w:rsidR="00331AC2" w:rsidRPr="00331AC2" w:rsidRDefault="00331AC2" w:rsidP="00331AC2">
      <w:pPr>
        <w:suppressAutoHyphens/>
        <w:spacing w:after="0" w:line="240" w:lineRule="auto"/>
        <w:jc w:val="both"/>
        <w:rPr>
          <w:rFonts w:ascii="Calibri" w:eastAsia="Times New Roman" w:hAnsi="Calibri" w:cs="Calibri"/>
          <w:b/>
          <w:bCs/>
          <w:kern w:val="0"/>
          <w:lang w:eastAsia="el-GR"/>
          <w14:ligatures w14:val="none"/>
        </w:rPr>
      </w:pPr>
    </w:p>
    <w:p w14:paraId="0DBAB49C"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Άρθρο 17</w:t>
      </w:r>
    </w:p>
    <w:p w14:paraId="4EAF7094"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Λοιποί όροι</w:t>
      </w:r>
    </w:p>
    <w:p w14:paraId="3B7EC88A" w14:textId="77777777" w:rsidR="00331AC2" w:rsidRPr="00331AC2" w:rsidRDefault="00331AC2" w:rsidP="00331AC2">
      <w:pPr>
        <w:suppressAutoHyphens/>
        <w:spacing w:after="0" w:line="240" w:lineRule="auto"/>
        <w:jc w:val="center"/>
        <w:rPr>
          <w:rFonts w:ascii="Calibri" w:eastAsia="Times New Roman" w:hAnsi="Calibri" w:cs="Calibri"/>
          <w:b/>
          <w:bCs/>
          <w:kern w:val="0"/>
          <w:lang w:eastAsia="el-GR"/>
          <w14:ligatures w14:val="none"/>
        </w:rPr>
      </w:pPr>
    </w:p>
    <w:p w14:paraId="09E029C2"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Όλοι οι όροι της με αρ. πρωτ. ΕΛΚΕ ………../….-….-2025  (ΑΔΑΜ: ……………………….) Διακήρυξης και των Εγγράφων της Σύμβασης που σχετίζονται με την εκτέλεση της παρούσας αποτελούν αναπόσπαστο τμήμα αυτής.</w:t>
      </w:r>
    </w:p>
    <w:p w14:paraId="77AE9FDC"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Το παρόν συμφωνητικό καταχωρίζεται στο ΚΗΜΔΗΣ αμελλητί μετά την υπογραφή αυτού και σύμφωνα με τα ειδικότερα οριζόμενα στην περ. η της παρ. 1 του άρθρου 10 της ΚΥΑ ΚΗΜΔΗΣ (Β’ 3075/2021).</w:t>
      </w:r>
    </w:p>
    <w:p w14:paraId="0137B775"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Αφού συντάχθηκε η παρούσα σύμβαση αναγνώστηκε και υπογράφηκε ως ακολούθως από τα συμβαλλόμενα μέρη.</w:t>
      </w:r>
    </w:p>
    <w:p w14:paraId="5185B2C8" w14:textId="77777777" w:rsidR="00331AC2" w:rsidRPr="00331AC2" w:rsidRDefault="00331AC2" w:rsidP="00331AC2">
      <w:pPr>
        <w:suppressAutoHyphens/>
        <w:spacing w:after="120" w:line="240" w:lineRule="auto"/>
        <w:jc w:val="both"/>
        <w:rPr>
          <w:rFonts w:ascii="Calibri" w:eastAsia="Times New Roman" w:hAnsi="Calibri" w:cs="Calibri"/>
          <w:kern w:val="0"/>
          <w:highlight w:val="green"/>
          <w:lang w:eastAsia="el-GR"/>
          <w14:ligatures w14:val="none"/>
        </w:rPr>
      </w:pPr>
    </w:p>
    <w:p w14:paraId="1128941A" w14:textId="77777777" w:rsidR="00331AC2" w:rsidRPr="00331AC2" w:rsidRDefault="00331AC2" w:rsidP="00331AC2">
      <w:pPr>
        <w:suppressAutoHyphens/>
        <w:spacing w:after="120" w:line="240" w:lineRule="auto"/>
        <w:jc w:val="both"/>
        <w:rPr>
          <w:rFonts w:ascii="Calibri" w:eastAsia="Times New Roman" w:hAnsi="Calibri" w:cs="Calibri"/>
          <w:kern w:val="0"/>
          <w:lang w:eastAsia="el-GR"/>
          <w14:ligatures w14:val="none"/>
        </w:rPr>
      </w:pPr>
    </w:p>
    <w:p w14:paraId="5CC66889" w14:textId="77777777" w:rsidR="00331AC2" w:rsidRPr="00331AC2" w:rsidRDefault="00331AC2" w:rsidP="00331AC2">
      <w:pPr>
        <w:suppressAutoHyphens/>
        <w:spacing w:after="120" w:line="240" w:lineRule="auto"/>
        <w:jc w:val="center"/>
        <w:rPr>
          <w:rFonts w:ascii="Calibri" w:eastAsia="Times New Roman" w:hAnsi="Calibri" w:cs="Calibri"/>
          <w:b/>
          <w:bCs/>
          <w:kern w:val="0"/>
          <w:lang w:val="en-GB" w:eastAsia="el-GR"/>
          <w14:ligatures w14:val="none"/>
        </w:rPr>
      </w:pPr>
      <w:r w:rsidRPr="00331AC2">
        <w:rPr>
          <w:rFonts w:ascii="Calibri" w:eastAsia="Times New Roman" w:hAnsi="Calibri" w:cs="Calibri"/>
          <w:b/>
          <w:bCs/>
          <w:kern w:val="0"/>
          <w:lang w:val="en-GB" w:eastAsia="el-GR"/>
          <w14:ligatures w14:val="none"/>
        </w:rPr>
        <w:t>ΟΙ ΣΥΜΒΑΛΛΟΜΕΝΟΙ</w:t>
      </w:r>
    </w:p>
    <w:p w14:paraId="42A5275C" w14:textId="77777777" w:rsidR="00331AC2" w:rsidRPr="00331AC2" w:rsidRDefault="00331AC2" w:rsidP="00331AC2">
      <w:pPr>
        <w:suppressAutoHyphens/>
        <w:spacing w:after="120" w:line="240" w:lineRule="auto"/>
        <w:jc w:val="center"/>
        <w:rPr>
          <w:rFonts w:ascii="Calibri" w:eastAsia="Times New Roman" w:hAnsi="Calibri" w:cs="Calibri"/>
          <w:b/>
          <w:bCs/>
          <w:kern w:val="0"/>
          <w:lang w:val="en-GB" w:eastAsia="el-GR"/>
          <w14:ligatures w14:val="none"/>
        </w:rPr>
      </w:pPr>
    </w:p>
    <w:tbl>
      <w:tblPr>
        <w:tblW w:w="10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8"/>
        <w:gridCol w:w="4975"/>
      </w:tblGrid>
      <w:tr w:rsidR="00331AC2" w:rsidRPr="00331AC2" w14:paraId="1CFB4DCF" w14:textId="77777777" w:rsidTr="00C706C0">
        <w:trPr>
          <w:trHeight w:val="1641"/>
          <w:jc w:val="center"/>
        </w:trPr>
        <w:tc>
          <w:tcPr>
            <w:tcW w:w="5078" w:type="dxa"/>
          </w:tcPr>
          <w:p w14:paraId="54E3DB39"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 xml:space="preserve">Ο Πρόεδρος της Επιτροπής Ερευνών </w:t>
            </w:r>
          </w:p>
          <w:p w14:paraId="445DFBA3"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Αντιπρύτανης Έρευνας και Καινοτομίας</w:t>
            </w:r>
          </w:p>
          <w:p w14:paraId="648B8590"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p>
          <w:p w14:paraId="578FCDFC"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p>
          <w:p w14:paraId="42DE333C"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p>
          <w:p w14:paraId="616053D8"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p>
          <w:p w14:paraId="477D7782"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val="en-GB" w:eastAsia="el-GR"/>
                <w14:ligatures w14:val="none"/>
              </w:rPr>
            </w:pPr>
            <w:r w:rsidRPr="00331AC2">
              <w:rPr>
                <w:rFonts w:ascii="Calibri" w:eastAsia="Times New Roman" w:hAnsi="Calibri" w:cs="Calibri"/>
                <w:kern w:val="0"/>
                <w:lang w:val="en-GB" w:eastAsia="el-GR"/>
                <w14:ligatures w14:val="none"/>
              </w:rPr>
              <w:t>Κα</w:t>
            </w:r>
            <w:proofErr w:type="spellStart"/>
            <w:r w:rsidRPr="00331AC2">
              <w:rPr>
                <w:rFonts w:ascii="Calibri" w:eastAsia="Times New Roman" w:hAnsi="Calibri" w:cs="Calibri"/>
                <w:kern w:val="0"/>
                <w:lang w:val="en-GB" w:eastAsia="el-GR"/>
                <w14:ligatures w14:val="none"/>
              </w:rPr>
              <w:t>θηγητής</w:t>
            </w:r>
            <w:proofErr w:type="spellEnd"/>
            <w:r w:rsidRPr="00331AC2">
              <w:rPr>
                <w:rFonts w:ascii="Calibri" w:eastAsia="Times New Roman" w:hAnsi="Calibri" w:cs="Calibri"/>
                <w:kern w:val="0"/>
                <w:lang w:val="en-GB" w:eastAsia="el-GR"/>
                <w14:ligatures w14:val="none"/>
              </w:rPr>
              <w:t xml:space="preserve"> </w:t>
            </w:r>
            <w:proofErr w:type="spellStart"/>
            <w:r w:rsidRPr="00331AC2">
              <w:rPr>
                <w:rFonts w:ascii="Calibri" w:eastAsia="Times New Roman" w:hAnsi="Calibri" w:cs="Calibri"/>
                <w:kern w:val="0"/>
                <w:lang w:val="en-GB" w:eastAsia="el-GR"/>
                <w14:ligatures w14:val="none"/>
              </w:rPr>
              <w:t>Κωνστ</w:t>
            </w:r>
            <w:proofErr w:type="spellEnd"/>
            <w:r w:rsidRPr="00331AC2">
              <w:rPr>
                <w:rFonts w:ascii="Calibri" w:eastAsia="Times New Roman" w:hAnsi="Calibri" w:cs="Calibri"/>
                <w:kern w:val="0"/>
                <w:lang w:val="en-GB" w:eastAsia="el-GR"/>
                <w14:ligatures w14:val="none"/>
              </w:rPr>
              <w:t xml:space="preserve">αντίνος - </w:t>
            </w:r>
            <w:proofErr w:type="spellStart"/>
            <w:r w:rsidRPr="00331AC2">
              <w:rPr>
                <w:rFonts w:ascii="Calibri" w:eastAsia="Times New Roman" w:hAnsi="Calibri" w:cs="Calibri"/>
                <w:kern w:val="0"/>
                <w:lang w:val="en-GB" w:eastAsia="el-GR"/>
                <w14:ligatures w14:val="none"/>
              </w:rPr>
              <w:t>Αλκέτ</w:t>
            </w:r>
            <w:proofErr w:type="spellEnd"/>
            <w:r w:rsidRPr="00331AC2">
              <w:rPr>
                <w:rFonts w:ascii="Calibri" w:eastAsia="Times New Roman" w:hAnsi="Calibri" w:cs="Calibri"/>
                <w:kern w:val="0"/>
                <w:lang w:val="en-GB" w:eastAsia="el-GR"/>
                <w14:ligatures w14:val="none"/>
              </w:rPr>
              <w:t xml:space="preserve">ας </w:t>
            </w:r>
            <w:proofErr w:type="spellStart"/>
            <w:r w:rsidRPr="00331AC2">
              <w:rPr>
                <w:rFonts w:ascii="Calibri" w:eastAsia="Times New Roman" w:hAnsi="Calibri" w:cs="Calibri"/>
                <w:kern w:val="0"/>
                <w:lang w:val="en-GB" w:eastAsia="el-GR"/>
                <w14:ligatures w14:val="none"/>
              </w:rPr>
              <w:t>Ουγγρίνης</w:t>
            </w:r>
            <w:proofErr w:type="spellEnd"/>
          </w:p>
        </w:tc>
        <w:tc>
          <w:tcPr>
            <w:tcW w:w="4975" w:type="dxa"/>
          </w:tcPr>
          <w:p w14:paraId="335EA19A"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jc w:val="center"/>
              <w:textAlignment w:val="baseline"/>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Ο Επιστημονικά Υπεύθυνος</w:t>
            </w:r>
          </w:p>
          <w:p w14:paraId="506A4F96"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r w:rsidRPr="00331AC2">
              <w:rPr>
                <w:rFonts w:ascii="Calibri" w:eastAsia="Times New Roman" w:hAnsi="Calibri" w:cs="Calibri"/>
                <w:bCs/>
                <w:kern w:val="0"/>
                <w:lang w:eastAsia="el-GR"/>
                <w14:ligatures w14:val="none"/>
              </w:rPr>
              <w:t xml:space="preserve">  </w:t>
            </w:r>
          </w:p>
          <w:p w14:paraId="197C01A4"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p>
          <w:p w14:paraId="4557A361"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p>
          <w:p w14:paraId="4E239FEC"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p>
          <w:p w14:paraId="47BAF8DA"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p>
          <w:p w14:paraId="6AE98E0C"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r w:rsidRPr="00331AC2">
              <w:rPr>
                <w:rFonts w:ascii="Calibri" w:eastAsia="Times New Roman" w:hAnsi="Calibri" w:cs="Calibri"/>
                <w:bCs/>
                <w:kern w:val="0"/>
                <w:lang w:eastAsia="el-GR"/>
                <w14:ligatures w14:val="none"/>
              </w:rPr>
              <w:t>Καθηγητής Ευάγγελος Καλογεράκης</w:t>
            </w:r>
          </w:p>
        </w:tc>
      </w:tr>
      <w:tr w:rsidR="00331AC2" w:rsidRPr="00331AC2" w14:paraId="1F35E3BF" w14:textId="77777777" w:rsidTr="00C706C0">
        <w:trPr>
          <w:trHeight w:val="1749"/>
          <w:jc w:val="center"/>
        </w:trPr>
        <w:tc>
          <w:tcPr>
            <w:tcW w:w="10053" w:type="dxa"/>
            <w:gridSpan w:val="2"/>
          </w:tcPr>
          <w:p w14:paraId="6FE4C3F4"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jc w:val="center"/>
              <w:textAlignment w:val="baseline"/>
              <w:rPr>
                <w:rFonts w:ascii="Calibri" w:eastAsia="Times New Roman" w:hAnsi="Calibri" w:cs="Calibri"/>
                <w:b/>
                <w:bCs/>
                <w:kern w:val="0"/>
                <w:lang w:val="en-GB" w:eastAsia="el-GR"/>
                <w14:ligatures w14:val="none"/>
              </w:rPr>
            </w:pPr>
            <w:proofErr w:type="spellStart"/>
            <w:r w:rsidRPr="00331AC2">
              <w:rPr>
                <w:rFonts w:ascii="Calibri" w:eastAsia="Times New Roman" w:hAnsi="Calibri" w:cs="Calibri"/>
                <w:b/>
                <w:bCs/>
                <w:kern w:val="0"/>
                <w:lang w:val="en-GB" w:eastAsia="el-GR"/>
                <w14:ligatures w14:val="none"/>
              </w:rPr>
              <w:lastRenderedPageBreak/>
              <w:t>Γι</w:t>
            </w:r>
            <w:proofErr w:type="spellEnd"/>
            <w:r w:rsidRPr="00331AC2">
              <w:rPr>
                <w:rFonts w:ascii="Calibri" w:eastAsia="Times New Roman" w:hAnsi="Calibri" w:cs="Calibri"/>
                <w:b/>
                <w:bCs/>
                <w:kern w:val="0"/>
                <w:lang w:val="en-GB" w:eastAsia="el-GR"/>
                <w14:ligatures w14:val="none"/>
              </w:rPr>
              <w:t xml:space="preserve">α </w:t>
            </w:r>
            <w:proofErr w:type="spellStart"/>
            <w:r w:rsidRPr="00331AC2">
              <w:rPr>
                <w:rFonts w:ascii="Calibri" w:eastAsia="Times New Roman" w:hAnsi="Calibri" w:cs="Calibri"/>
                <w:b/>
                <w:bCs/>
                <w:kern w:val="0"/>
                <w:lang w:val="en-GB" w:eastAsia="el-GR"/>
                <w14:ligatures w14:val="none"/>
              </w:rPr>
              <w:t>την</w:t>
            </w:r>
            <w:proofErr w:type="spellEnd"/>
            <w:r w:rsidRPr="00331AC2">
              <w:rPr>
                <w:rFonts w:ascii="Calibri" w:eastAsia="Times New Roman" w:hAnsi="Calibri" w:cs="Calibri"/>
                <w:b/>
                <w:bCs/>
                <w:kern w:val="0"/>
                <w:lang w:val="en-GB" w:eastAsia="el-GR"/>
                <w14:ligatures w14:val="none"/>
              </w:rPr>
              <w:t xml:space="preserve"> </w:t>
            </w:r>
            <w:proofErr w:type="spellStart"/>
            <w:r w:rsidRPr="00331AC2">
              <w:rPr>
                <w:rFonts w:ascii="Calibri" w:eastAsia="Times New Roman" w:hAnsi="Calibri" w:cs="Calibri"/>
                <w:b/>
                <w:bCs/>
                <w:kern w:val="0"/>
                <w:lang w:val="en-GB" w:eastAsia="el-GR"/>
                <w14:ligatures w14:val="none"/>
              </w:rPr>
              <w:t>Ανάδοχο</w:t>
            </w:r>
            <w:proofErr w:type="spellEnd"/>
          </w:p>
          <w:p w14:paraId="363E6BF7"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jc w:val="center"/>
              <w:textAlignment w:val="baseline"/>
              <w:rPr>
                <w:rFonts w:ascii="Calibri" w:eastAsia="Times New Roman" w:hAnsi="Calibri" w:cs="Calibri"/>
                <w:b/>
                <w:bCs/>
                <w:kern w:val="0"/>
                <w:lang w:val="en-GB" w:eastAsia="el-GR"/>
                <w14:ligatures w14:val="none"/>
              </w:rPr>
            </w:pPr>
            <w:r w:rsidRPr="00331AC2">
              <w:rPr>
                <w:rFonts w:ascii="Calibri" w:eastAsia="Times New Roman" w:hAnsi="Calibri" w:cs="Calibri"/>
                <w:b/>
                <w:bCs/>
                <w:kern w:val="0"/>
                <w:lang w:val="en-GB" w:eastAsia="el-GR"/>
                <w14:ligatures w14:val="none"/>
              </w:rPr>
              <w:t>……………………….</w:t>
            </w:r>
          </w:p>
          <w:p w14:paraId="13C0B42E"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jc w:val="both"/>
              <w:textAlignment w:val="baseline"/>
              <w:rPr>
                <w:rFonts w:ascii="Calibri" w:eastAsia="Times New Roman" w:hAnsi="Calibri" w:cs="Calibri"/>
                <w:b/>
                <w:bCs/>
                <w:kern w:val="0"/>
                <w:lang w:val="en-GB" w:eastAsia="el-GR"/>
                <w14:ligatures w14:val="none"/>
              </w:rPr>
            </w:pPr>
          </w:p>
          <w:p w14:paraId="62CD0D32"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jc w:val="both"/>
              <w:textAlignment w:val="baseline"/>
              <w:rPr>
                <w:rFonts w:ascii="Calibri" w:eastAsia="Times New Roman" w:hAnsi="Calibri" w:cs="Calibri"/>
                <w:b/>
                <w:bCs/>
                <w:kern w:val="0"/>
                <w:lang w:val="en-GB" w:eastAsia="el-GR"/>
                <w14:ligatures w14:val="none"/>
              </w:rPr>
            </w:pPr>
          </w:p>
          <w:p w14:paraId="6F8011C0"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val="en-GB" w:eastAsia="el-GR"/>
                <w14:ligatures w14:val="none"/>
              </w:rPr>
            </w:pPr>
            <w:r w:rsidRPr="00331AC2">
              <w:rPr>
                <w:rFonts w:ascii="Calibri" w:eastAsia="Times New Roman" w:hAnsi="Calibri" w:cs="Calibri"/>
                <w:kern w:val="0"/>
                <w:lang w:val="en-GB" w:eastAsia="el-GR"/>
                <w14:ligatures w14:val="none"/>
              </w:rPr>
              <w:t>……………………….</w:t>
            </w:r>
          </w:p>
        </w:tc>
      </w:tr>
    </w:tbl>
    <w:p w14:paraId="716EC690" w14:textId="77777777" w:rsidR="00331AC2" w:rsidRPr="00331AC2" w:rsidRDefault="00331AC2" w:rsidP="00331AC2">
      <w:pPr>
        <w:suppressAutoHyphens/>
        <w:spacing w:after="120" w:line="240" w:lineRule="auto"/>
        <w:jc w:val="center"/>
        <w:rPr>
          <w:rFonts w:ascii="Calibri" w:eastAsia="Times New Roman" w:hAnsi="Calibri" w:cs="Calibri"/>
          <w:b/>
          <w:bCs/>
          <w:kern w:val="0"/>
          <w:highlight w:val="green"/>
          <w:lang w:val="en-GB" w:eastAsia="el-GR"/>
          <w14:ligatures w14:val="none"/>
        </w:rPr>
      </w:pPr>
    </w:p>
    <w:p w14:paraId="41C47AA6" w14:textId="77777777" w:rsidR="00331AC2" w:rsidRPr="00331AC2" w:rsidRDefault="00331AC2" w:rsidP="00331AC2">
      <w:pPr>
        <w:suppressAutoHyphens/>
        <w:spacing w:after="120" w:line="240" w:lineRule="auto"/>
        <w:jc w:val="both"/>
        <w:rPr>
          <w:rFonts w:ascii="Calibri" w:eastAsia="Times New Roman" w:hAnsi="Calibri" w:cs="Calibri"/>
          <w:b/>
          <w:bCs/>
          <w:kern w:val="0"/>
          <w:highlight w:val="green"/>
          <w:lang w:val="en-GB" w:eastAsia="ar-SA"/>
          <w14:ligatures w14:val="none"/>
        </w:rPr>
      </w:pPr>
    </w:p>
    <w:p w14:paraId="29A2015B" w14:textId="77777777" w:rsidR="00331AC2" w:rsidRPr="00331AC2" w:rsidRDefault="00331AC2" w:rsidP="00331AC2">
      <w:pPr>
        <w:suppressAutoHyphens/>
        <w:spacing w:after="120" w:line="240" w:lineRule="auto"/>
        <w:jc w:val="center"/>
        <w:rPr>
          <w:rFonts w:ascii="Calibri" w:eastAsia="Times New Roman" w:hAnsi="Calibri" w:cs="Calibri"/>
          <w:b/>
          <w:bCs/>
          <w:kern w:val="0"/>
          <w:lang w:eastAsia="ar-SA"/>
          <w14:ligatures w14:val="none"/>
        </w:rPr>
      </w:pPr>
      <w:r w:rsidRPr="00331AC2">
        <w:rPr>
          <w:rFonts w:ascii="Calibri" w:eastAsia="Times New Roman" w:hAnsi="Calibri" w:cs="Calibri"/>
          <w:b/>
          <w:bCs/>
          <w:kern w:val="0"/>
          <w:lang w:eastAsia="ar-SA"/>
          <w14:ligatures w14:val="none"/>
        </w:rPr>
        <w:t>ΡΗΤΡΑ ΑΚΕΡΑΙΟΤΗΤΑΣ</w:t>
      </w:r>
      <w:r w:rsidRPr="00331AC2">
        <w:rPr>
          <w:rFonts w:ascii="Calibri" w:eastAsia="Times New Roman" w:hAnsi="Calibri" w:cs="Calibri"/>
          <w:kern w:val="0"/>
          <w:lang w:eastAsia="ar-SA"/>
          <w14:ligatures w14:val="none"/>
        </w:rPr>
        <w:t xml:space="preserve"> </w:t>
      </w:r>
      <w:r w:rsidRPr="00331AC2">
        <w:rPr>
          <w:rFonts w:ascii="Calibri" w:eastAsia="Times New Roman" w:hAnsi="Calibri" w:cs="Calibri"/>
          <w:b/>
          <w:bCs/>
          <w:kern w:val="0"/>
          <w:lang w:eastAsia="ar-SA"/>
          <w14:ligatures w14:val="none"/>
        </w:rPr>
        <w:t>ΕΠΙΣΥΝΑΠΤΟΜΕΝΗ ΣΤΗΝ ΥΠ’ΑΡΙΘΜ ………… ΣΥΜΒΑΣΗ</w:t>
      </w:r>
    </w:p>
    <w:p w14:paraId="471ACBBC"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Δηλώνω/ούμε ότι δεσμευόμαστε ότι σε όλα τα στάδια που προηγήθηκαν της κατακύρωσης της σύμβασης δεν ενήργησα/ενεργήσαμε αθέμιτα, παράνομα ή καταχρηστικά και ότι θα εξακολουθήσω/ουμε να ενεργώ/ούμε κατ’ αυτόν τον τρόπο κατά το στάδιο εκτέλεσης της σύμβασης αλλά και μετά τη λήξη αυτής. </w:t>
      </w:r>
    </w:p>
    <w:p w14:paraId="6A06D6AB"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Ειδικότερα ότι:</w:t>
      </w:r>
    </w:p>
    <w:p w14:paraId="23664320"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1) δεν διέθετα/διαθέταμε εσωτερική πληροφόρηση, πέραν των στοιχείων που περιήλθαν στη γνώση και στην αντίληψη μου/μας μέσω των εγγράφων της σύμβασης και στο πλαίσιο της συμμετοχής μου/μας στη διαδικασία σύναψης της σύμβασης και των προκαταρκτικών διαβουλεύσεων στις οποίες συμμετείχα/με και έχουν δημοσιοποιηθεί.</w:t>
      </w:r>
    </w:p>
    <w:p w14:paraId="2529F6C5"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2) δεν πραγματοποίησα/ήσαμε ενέργειες νόθευσης του ανταγωνισμού μέσω χειραγώγησης των προσφορών, είτε ατομικώς είτε σε συνεργασία με τρίτους, κατά τα οριζόμενα στο δίκαιο του ανταγωνισμού.</w:t>
      </w:r>
    </w:p>
    <w:p w14:paraId="55ECBCBB"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3) δεν διενήργησα/διενεργήσαμε ούτε θα διενεργήσω/ήσουμε πριν, κατά τη διάρκεια ή και μετά τη λήξη της σύμβασης παράνομες πληρωμές για διευκολύνσεις, εξυπηρετήσεις ή υπηρεσίες που αφορούν τη σύμβαση και τη διαδικασία ανάθεσης.</w:t>
      </w:r>
      <w:r w:rsidRPr="00331AC2">
        <w:rPr>
          <w:rFonts w:ascii="Calibri" w:eastAsia="Times New Roman" w:hAnsi="Calibri" w:cs="Calibri"/>
          <w:kern w:val="0"/>
          <w:lang w:eastAsia="el-GR"/>
          <w14:ligatures w14:val="none"/>
        </w:rPr>
        <w:br/>
        <w:t>4) δεν πρόσφερα/προσφέραμε ούτε θα προσφέρω/ουμε πριν, κατά τη διάρκεια ή και μετά τη λήξη της σύμβασης, άμεσα ή έμμεσα, οποιαδήποτε υλική εύνοια, δώρο ή αντάλλαγμα σε υπαλλήλους ή μέλη συλλογικών οργάνων της αναθέτουσας αρχής, καθώς και συζύγους και συγγενείς εξ αίματος ή εξ αγχιστείας, κατ’ ευθεία μεν γραμμή απεριορίστως, εκ πλαγίου δε έως και τέταρτου βαθμού ή συνεργάτες αυτών ούτε χρησιμοποίησα/χρησιμοποιήσαμε ή θα χρησιμοποιήσω/χρησιμοποιήσουμε τρίτα πρόσωπα, για να διοχετεύσουν χρηματικά ποσά στα προαναφερόμενα πρόσωπα.</w:t>
      </w:r>
    </w:p>
    <w:p w14:paraId="7611319D"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lastRenderedPageBreak/>
        <w:t>5) δεν θα επιχειρήσω/ουμε  να επηρεάσω/ουμε με αθέμιτο τρόπο τη διαδικασία λήψης αποφάσεων της αναθέτουσας αρχής, ούτε θα παράσχω-ουμε παραπλανητικές πληροφορίες οι οποίες ενδέχεται να επηρεάσουν ουσιωδώς τις αποφάσεις της αναθέτουσας αρχής καθ’ όλη τη διάρκεια της εκτέλεσης της σύμβασης αλλά και μετά τη λήξη της,</w:t>
      </w:r>
    </w:p>
    <w:p w14:paraId="0CA95284"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6) δεν έχω/ουμε προβεί ούτε θα προβώ/ούμε, άμεσα (ο ίδιος) ή έμμεσα (μέσω τρίτων προσώπων), σε οποιαδήποτε πράξη ή παράλειψη [εναλλακτικά: ότι δεν έχω-ουμε εμπλακεί και δεν θα εμπλακώ-ουμε σε οποιαδήποτε παράτυπη, ανέντιμη ή απατηλή συμπεριφορά (πράξη ή παράλειψη)] που έχει ως στόχο την παραπλάνηση [/εξαπάτηση] οποιουδήποτε προσώπου ή οργάνου της αναθέτουσας αρχής εμπλεκομένου σε οποιαδήποτε διαδικασία σχετική με την εκτέλεση της σύμβασης (όπως ενδεικτικά στις διαδικασίες παρακολούθησης και παραλαβής), την απόκρυψη πληροφοριών από αυτό, τον εξαναγκασμό αυτού σε ή/και την αθέμιτη απόσπαση από αυτό ρητής ή σιωπηρής συγκατάθεσης στην παραβίαση ή παράκαμψη νόμιμων ή συμβατικών υποχρεώσεων που σχετίζονται με την εκτέλεση της σύμβασης, ή τυχόν έγκρισης, θετικής γνώμης ή απόφασης παραλαβής (μέρους ή όλου) του συμβατικού αντικείμενου ή/και καταβολής (μέρους ή όλου) του συμβατικού τιμήματος,</w:t>
      </w:r>
    </w:p>
    <w:p w14:paraId="56CF5CCE"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7) ότι θα απέχω/ουμε από οποιαδήποτε εν γένει συμπεριφορά που συνιστά σοβαρό επαγγελματικό παράπτωμα και θα μπορούσε να θέσει εν αμφιβόλω την ακεραιότητά μου-μας, </w:t>
      </w:r>
    </w:p>
    <w:p w14:paraId="6C283648"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 xml:space="preserve">8) ότι θα δηλώσω/ουμε στην αναθέτουσα αρχή, αμελλητί με την περιέλευση σε γνώση μου/μας,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νόμιμων ή εξουσιοδοτημένων εκπροσώπων μου-μας, υπαλλήλων ή συνεργατών μου-μας που χρησιμοποιούνται για την εκτέλεση της σύμβασης (συμπεριλαμβανομένων και των υπεργολάβων μου) με μέλη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w:t>
      </w:r>
      <w:r w:rsidRPr="00331AC2">
        <w:rPr>
          <w:rFonts w:ascii="Calibri" w:eastAsia="Times New Roman" w:hAnsi="Calibri" w:cs="Calibri"/>
          <w:kern w:val="0"/>
          <w:lang w:eastAsia="el-GR"/>
          <w14:ligatures w14:val="none"/>
        </w:rPr>
        <w:lastRenderedPageBreak/>
        <w:t xml:space="preserve">συμπεριλαμβανομένων των μελών των αποφαινόμενων ή/και γνωμοδοτικών οργάνων αυτής, ή/και των μελών των οργάνων διοίκησής της ή/και των συζύγων και συγγενών εξ αίματος ή εξ αγχιστείας, κατ’ ευθεία μεν γραμμή απεριορίστως, εκ πλαγίου δε έως και τετάρτου βαθμού των παραπάνω προσώπων, οποτεδήποτε και εάν η κατάσταση αυτή σύγκρουσης συμφερόντων προκύψει κατά τη διάρκεια εκτέλεσης της σύμβασης και μέχρι τη λήξη της. </w:t>
      </w:r>
    </w:p>
    <w:p w14:paraId="5DB75420"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p>
    <w:p w14:paraId="5D234616" w14:textId="77777777" w:rsidR="00331AC2" w:rsidRPr="00331AC2" w:rsidRDefault="00331AC2" w:rsidP="00331AC2">
      <w:pPr>
        <w:suppressAutoHyphens/>
        <w:spacing w:after="0" w:line="360" w:lineRule="auto"/>
        <w:jc w:val="both"/>
        <w:rPr>
          <w:rFonts w:ascii="Calibri" w:eastAsia="Times New Roman" w:hAnsi="Calibri" w:cs="Calibri"/>
          <w:b/>
          <w:bCs/>
          <w:kern w:val="0"/>
          <w:lang w:eastAsia="el-GR"/>
          <w14:ligatures w14:val="none"/>
        </w:rPr>
      </w:pPr>
      <w:r w:rsidRPr="00331AC2">
        <w:rPr>
          <w:rFonts w:ascii="Calibri" w:eastAsia="Times New Roman" w:hAnsi="Calibri" w:cs="Calibri"/>
          <w:b/>
          <w:bCs/>
          <w:kern w:val="0"/>
          <w:lang w:eastAsia="el-GR"/>
          <w14:ligatures w14:val="none"/>
        </w:rPr>
        <w:t>Υπογραφή/Σφραγίδα</w:t>
      </w:r>
    </w:p>
    <w:p w14:paraId="2D449A80"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r w:rsidRPr="00331AC2">
        <w:rPr>
          <w:rFonts w:ascii="Calibri" w:eastAsia="Times New Roman" w:hAnsi="Calibri" w:cs="Calibri"/>
          <w:kern w:val="0"/>
          <w:lang w:eastAsia="el-GR"/>
          <w14:ligatures w14:val="none"/>
        </w:rPr>
        <w:t>Ο/η ……. (σε περίπτωση φυσικού προσώπου/ ατομικής επιχείρησης) ή το νομικό πρόσωπο...........με την επωνυμία ……………………….. και με το διακριτικό τίτλο «..........................», που εδρεύει ...................................... (ΑΦΜ:....................., ΔΟΥ: ................., Τ.Κ. ...................., νομίμως εκπροσωπούμενο (μόνο για νομικά πρόσωπα) από τον .........................................</w:t>
      </w:r>
    </w:p>
    <w:p w14:paraId="3BE7F88B" w14:textId="77777777" w:rsidR="00331AC2" w:rsidRPr="00331AC2" w:rsidRDefault="00331AC2" w:rsidP="00331AC2">
      <w:pPr>
        <w:suppressAutoHyphens/>
        <w:spacing w:after="0" w:line="360" w:lineRule="auto"/>
        <w:jc w:val="both"/>
        <w:rPr>
          <w:rFonts w:ascii="Calibri" w:eastAsia="Times New Roman" w:hAnsi="Calibri" w:cs="Calibri"/>
          <w:kern w:val="0"/>
          <w:lang w:eastAsia="el-GR"/>
          <w14:ligatures w14:val="none"/>
        </w:rPr>
      </w:pPr>
    </w:p>
    <w:p w14:paraId="4D36B061"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kern w:val="0"/>
          <w:lang w:eastAsia="el-GR"/>
          <w14:ligatures w14:val="none"/>
        </w:rPr>
      </w:pPr>
    </w:p>
    <w:p w14:paraId="461968CE"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ar-SA"/>
          <w14:ligatures w14:val="none"/>
        </w:rPr>
      </w:pPr>
      <w:r w:rsidRPr="00331AC2">
        <w:rPr>
          <w:rFonts w:ascii="Calibri" w:eastAsia="Times New Roman" w:hAnsi="Calibri" w:cs="Calibri"/>
          <w:b/>
          <w:bCs/>
          <w:kern w:val="0"/>
          <w:lang w:eastAsia="ar-SA"/>
          <w14:ligatures w14:val="none"/>
        </w:rPr>
        <w:t xml:space="preserve">ΕΝΗΜΕΡΩΣΗ ΦΥΣΙΚΩΝ ΠΡΟΣΩΠΩΝ ΓΙΑ ΤΗΝ ΕΠΕΞΕΡΓΑΣΙΑ ΠΡΟΣΩΠΩΝ ΓΙΑ ΤΗΝ ΕΠΕΞΕΡΓΑΣΙΑ ΠΡΟΣΩΠΙΚΩΝ ΔΕΔΟΜΕΝΩΝ </w:t>
      </w:r>
    </w:p>
    <w:p w14:paraId="57D6926F" w14:textId="77777777" w:rsidR="00331AC2" w:rsidRPr="00331AC2" w:rsidRDefault="00331AC2" w:rsidP="00331AC2">
      <w:pPr>
        <w:tabs>
          <w:tab w:val="center" w:pos="1980"/>
          <w:tab w:val="center" w:pos="7740"/>
        </w:tabs>
        <w:suppressAutoHyphens/>
        <w:overflowPunct w:val="0"/>
        <w:autoSpaceDE w:val="0"/>
        <w:autoSpaceDN w:val="0"/>
        <w:adjustRightInd w:val="0"/>
        <w:spacing w:after="0" w:line="320" w:lineRule="exact"/>
        <w:jc w:val="both"/>
        <w:textAlignment w:val="baseline"/>
        <w:rPr>
          <w:rFonts w:ascii="Calibri" w:eastAsia="Times New Roman" w:hAnsi="Calibri" w:cs="Calibri"/>
          <w:b/>
          <w:bCs/>
          <w:kern w:val="0"/>
          <w:lang w:eastAsia="ar-SA"/>
          <w14:ligatures w14:val="none"/>
        </w:rPr>
      </w:pPr>
    </w:p>
    <w:p w14:paraId="5DBC7FDE" w14:textId="77777777" w:rsidR="00331AC2" w:rsidRPr="00331AC2" w:rsidRDefault="00331AC2" w:rsidP="00331AC2">
      <w:pPr>
        <w:suppressAutoHyphens/>
        <w:spacing w:line="259"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14:paraId="238255CC" w14:textId="77777777" w:rsidR="00331AC2" w:rsidRPr="00331AC2" w:rsidRDefault="00331AC2" w:rsidP="00331AC2">
      <w:pPr>
        <w:suppressAutoHyphens/>
        <w:spacing w:line="259"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14:paraId="5A222709" w14:textId="77777777" w:rsidR="00331AC2" w:rsidRPr="00331AC2" w:rsidRDefault="00331AC2" w:rsidP="00331AC2">
      <w:pPr>
        <w:suppressAutoHyphens/>
        <w:spacing w:line="259"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14:paraId="6B405963" w14:textId="77777777" w:rsidR="00331AC2" w:rsidRPr="00331AC2" w:rsidRDefault="00331AC2" w:rsidP="00331AC2">
      <w:pPr>
        <w:suppressAutoHyphens/>
        <w:spacing w:line="259"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 xml:space="preserve">ΙΙΙ. Αποδέκτες των ανωτέρω (υπό Α) δεδομένων στους οποίους κοινοποιούνται είναι: </w:t>
      </w:r>
    </w:p>
    <w:p w14:paraId="1EB211FE" w14:textId="77777777" w:rsidR="00331AC2" w:rsidRPr="00331AC2" w:rsidRDefault="00331AC2" w:rsidP="00331AC2">
      <w:pPr>
        <w:suppressAutoHyphens/>
        <w:spacing w:line="259"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lastRenderedPageBreak/>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14:paraId="30690DD3" w14:textId="77777777" w:rsidR="00331AC2" w:rsidRPr="00331AC2" w:rsidRDefault="00331AC2" w:rsidP="00331AC2">
      <w:pPr>
        <w:suppressAutoHyphens/>
        <w:spacing w:line="259"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(β) Το Δημόσιο, άλλοι δημόσιοι φορείς ή δικαστικές αρχές ή άλλες αρχές ή δικαιοδοτικά όργανα, στο πλαίσιο των αρμοδιοτήτων τους.</w:t>
      </w:r>
    </w:p>
    <w:p w14:paraId="4944153E" w14:textId="77777777" w:rsidR="00331AC2" w:rsidRPr="00331AC2" w:rsidRDefault="00331AC2" w:rsidP="00331AC2">
      <w:pPr>
        <w:suppressAutoHyphens/>
        <w:spacing w:line="259"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eastAsia="ar-SA"/>
          <w14:ligatures w14:val="none"/>
        </w:rPr>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14:paraId="53EFD133" w14:textId="77777777" w:rsidR="00331AC2" w:rsidRPr="00331AC2" w:rsidRDefault="00331AC2" w:rsidP="00331AC2">
      <w:pPr>
        <w:suppressAutoHyphens/>
        <w:spacing w:line="259"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val="en-GB" w:eastAsia="ar-SA"/>
          <w14:ligatures w14:val="none"/>
        </w:rPr>
        <w:t>IV</w:t>
      </w:r>
      <w:r w:rsidRPr="00331AC2">
        <w:rPr>
          <w:rFonts w:ascii="Calibri" w:eastAsia="Times New Roman" w:hAnsi="Calibri" w:cs="Calibri"/>
          <w:kern w:val="0"/>
          <w:lang w:eastAsia="ar-SA"/>
          <w14:ligatures w14:val="none"/>
        </w:rPr>
        <w:t>.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14:paraId="32397E06" w14:textId="77777777" w:rsidR="00331AC2" w:rsidRPr="00331AC2" w:rsidRDefault="00331AC2" w:rsidP="00331AC2">
      <w:pPr>
        <w:suppressAutoHyphens/>
        <w:spacing w:line="259" w:lineRule="auto"/>
        <w:jc w:val="both"/>
        <w:rPr>
          <w:rFonts w:ascii="Calibri" w:eastAsia="Times New Roman" w:hAnsi="Calibri" w:cs="Calibri"/>
          <w:kern w:val="0"/>
          <w:lang w:eastAsia="ar-SA"/>
          <w14:ligatures w14:val="none"/>
        </w:rPr>
      </w:pPr>
      <w:r w:rsidRPr="00331AC2">
        <w:rPr>
          <w:rFonts w:ascii="Calibri" w:eastAsia="Times New Roman" w:hAnsi="Calibri" w:cs="Calibri"/>
          <w:kern w:val="0"/>
          <w:lang w:val="en-GB" w:eastAsia="ar-SA"/>
          <w14:ligatures w14:val="none"/>
        </w:rPr>
        <w:t>V</w:t>
      </w:r>
      <w:r w:rsidRPr="00331AC2">
        <w:rPr>
          <w:rFonts w:ascii="Calibri" w:eastAsia="Times New Roman" w:hAnsi="Calibri" w:cs="Calibri"/>
          <w:kern w:val="0"/>
          <w:lang w:eastAsia="ar-SA"/>
          <w14:ligatures w14:val="none"/>
        </w:rPr>
        <w:t>.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14:paraId="62A4869E" w14:textId="77777777" w:rsidR="00331AC2" w:rsidRPr="00331AC2" w:rsidRDefault="00331AC2" w:rsidP="00331AC2">
      <w:pPr>
        <w:suppressAutoHyphens/>
        <w:spacing w:line="259" w:lineRule="auto"/>
        <w:jc w:val="both"/>
        <w:rPr>
          <w:rFonts w:ascii="Calibri" w:eastAsia="Times New Roman" w:hAnsi="Calibri" w:cs="Calibri"/>
          <w:kern w:val="0"/>
          <w:sz w:val="22"/>
          <w:lang w:eastAsia="ar-SA"/>
          <w14:ligatures w14:val="none"/>
        </w:rPr>
      </w:pPr>
      <w:r w:rsidRPr="00331AC2">
        <w:rPr>
          <w:rFonts w:ascii="Calibri" w:eastAsia="Times New Roman" w:hAnsi="Calibri" w:cs="Calibri"/>
          <w:kern w:val="0"/>
          <w:lang w:val="en-GB" w:eastAsia="ar-SA"/>
          <w14:ligatures w14:val="none"/>
        </w:rPr>
        <w:t>VI</w:t>
      </w:r>
      <w:r w:rsidRPr="00331AC2">
        <w:rPr>
          <w:rFonts w:ascii="Calibri" w:eastAsia="Times New Roman" w:hAnsi="Calibri" w:cs="Calibri"/>
          <w:kern w:val="0"/>
          <w:lang w:eastAsia="ar-SA"/>
          <w14:ligatures w14:val="none"/>
        </w:rPr>
        <w:t xml:space="preserve">. </w:t>
      </w:r>
      <w:r w:rsidRPr="00331AC2">
        <w:rPr>
          <w:rFonts w:ascii="Calibri" w:eastAsia="Times New Roman" w:hAnsi="Calibri" w:cs="Calibri"/>
          <w:kern w:val="0"/>
          <w:lang w:val="en-GB" w:eastAsia="ar-SA"/>
          <w14:ligatures w14:val="none"/>
        </w:rPr>
        <w:t>H</w:t>
      </w:r>
      <w:r w:rsidRPr="00331AC2">
        <w:rPr>
          <w:rFonts w:ascii="Calibri" w:eastAsia="Times New Roman" w:hAnsi="Calibri" w:cs="Calibri"/>
          <w:kern w:val="0"/>
          <w:lang w:eastAsia="ar-SA"/>
          <w14:ligatures w14:val="none"/>
        </w:rPr>
        <w:t xml:space="preserve">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14:paraId="15AC7F9A" w14:textId="77777777" w:rsidR="009C6DDF" w:rsidRDefault="009C6DDF"/>
    <w:sectPr w:rsidR="009C6DDF">
      <w:foot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796C4" w14:textId="77777777" w:rsidR="00331AC2" w:rsidRDefault="00331AC2" w:rsidP="00331AC2">
      <w:pPr>
        <w:spacing w:after="0" w:line="240" w:lineRule="auto"/>
      </w:pPr>
      <w:r>
        <w:separator/>
      </w:r>
    </w:p>
  </w:endnote>
  <w:endnote w:type="continuationSeparator" w:id="0">
    <w:p w14:paraId="627563DD" w14:textId="77777777" w:rsidR="00331AC2" w:rsidRDefault="00331AC2" w:rsidP="00331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942B" w14:textId="7F1F1A05" w:rsidR="004E0152" w:rsidRPr="004E0152" w:rsidRDefault="004E0152" w:rsidP="004E0152">
    <w:pPr>
      <w:suppressAutoHyphens/>
      <w:spacing w:after="100" w:line="240" w:lineRule="auto"/>
      <w:jc w:val="center"/>
      <w:rPr>
        <w:rFonts w:ascii="Calibri" w:eastAsia="MS Mincho" w:hAnsi="Calibri" w:cs="Calibri"/>
        <w:kern w:val="0"/>
        <w:sz w:val="22"/>
        <w:lang w:eastAsia="ja-JP"/>
        <w14:ligatures w14:val="none"/>
      </w:rPr>
    </w:pPr>
    <w:r w:rsidRPr="004E0152">
      <w:rPr>
        <w:rFonts w:ascii="Calibri" w:eastAsia="MS Mincho" w:hAnsi="Calibri" w:cs="Calibri"/>
        <w:noProof/>
        <w:kern w:val="0"/>
        <w:sz w:val="22"/>
        <w:lang w:val="en-US" w:eastAsia="ja-JP"/>
        <w14:ligatures w14:val="none"/>
      </w:rPr>
      <w:drawing>
        <wp:inline distT="0" distB="0" distL="0" distR="0" wp14:anchorId="7DECD1C1" wp14:editId="1AB8195A">
          <wp:extent cx="1047750" cy="790575"/>
          <wp:effectExtent l="0" t="0" r="0" b="9525"/>
          <wp:docPr id="189495360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790575"/>
                  </a:xfrm>
                  <a:prstGeom prst="rect">
                    <a:avLst/>
                  </a:prstGeom>
                  <a:noFill/>
                  <a:ln>
                    <a:noFill/>
                  </a:ln>
                </pic:spPr>
              </pic:pic>
            </a:graphicData>
          </a:graphic>
        </wp:inline>
      </w:drawing>
    </w:r>
    <w:r w:rsidRPr="004E0152">
      <w:rPr>
        <w:rFonts w:ascii="Calibri" w:eastAsia="MS Mincho" w:hAnsi="Calibri" w:cs="Calibri"/>
        <w:kern w:val="0"/>
        <w:sz w:val="22"/>
        <w:lang w:val="en-US" w:eastAsia="ja-JP"/>
        <w14:ligatures w14:val="none"/>
      </w:rPr>
      <w:t xml:space="preserve">                     </w:t>
    </w:r>
    <w:r>
      <w:rPr>
        <w:rFonts w:ascii="Calibri" w:eastAsia="MS Mincho" w:hAnsi="Calibri" w:cs="Calibri"/>
        <w:kern w:val="0"/>
        <w:sz w:val="22"/>
        <w:lang w:eastAsia="ja-JP"/>
        <w14:ligatures w14:val="none"/>
      </w:rPr>
      <w:t xml:space="preserve">   </w:t>
    </w:r>
    <w:r w:rsidRPr="004E0152">
      <w:rPr>
        <w:rFonts w:ascii="Calibri" w:eastAsia="MS Mincho" w:hAnsi="Calibri" w:cs="Calibri"/>
        <w:kern w:val="0"/>
        <w:sz w:val="22"/>
        <w:lang w:val="en-US" w:eastAsia="ja-JP"/>
        <w14:ligatures w14:val="none"/>
      </w:rPr>
      <w:t xml:space="preserve">                 </w:t>
    </w:r>
    <w:r w:rsidRPr="004E0152">
      <w:rPr>
        <w:rFonts w:ascii="Calibri" w:eastAsia="MS Mincho" w:hAnsi="Calibri" w:cs="Calibri"/>
        <w:noProof/>
        <w:kern w:val="0"/>
        <w:sz w:val="22"/>
        <w:lang w:val="en-US" w:eastAsia="ja-JP"/>
        <w14:ligatures w14:val="none"/>
      </w:rPr>
      <w:drawing>
        <wp:inline distT="0" distB="0" distL="0" distR="0" wp14:anchorId="0137E515" wp14:editId="5F7A9EDE">
          <wp:extent cx="1114425" cy="752475"/>
          <wp:effectExtent l="0" t="0" r="9525" b="9525"/>
          <wp:docPr id="94651531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4425" cy="752475"/>
                  </a:xfrm>
                  <a:prstGeom prst="rect">
                    <a:avLst/>
                  </a:prstGeom>
                  <a:noFill/>
                  <a:ln>
                    <a:noFill/>
                  </a:ln>
                </pic:spPr>
              </pic:pic>
            </a:graphicData>
          </a:graphic>
        </wp:inline>
      </w:drawing>
    </w:r>
    <w:r w:rsidRPr="004E0152">
      <w:rPr>
        <w:rFonts w:ascii="Calibri" w:eastAsia="MS Mincho" w:hAnsi="Calibri" w:cs="Calibri"/>
        <w:b/>
        <w:bCs/>
        <w:kern w:val="0"/>
        <w:sz w:val="22"/>
        <w:lang w:val="en-US" w:eastAsia="el-GR"/>
        <w14:ligatures w14:val="none"/>
      </w:rPr>
      <w:t>Funded by the European Union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26D2E" w14:textId="77777777" w:rsidR="00331AC2" w:rsidRDefault="00331AC2" w:rsidP="00331AC2">
      <w:pPr>
        <w:spacing w:after="0" w:line="240" w:lineRule="auto"/>
      </w:pPr>
      <w:r>
        <w:separator/>
      </w:r>
    </w:p>
  </w:footnote>
  <w:footnote w:type="continuationSeparator" w:id="0">
    <w:p w14:paraId="295E0ACB" w14:textId="77777777" w:rsidR="00331AC2" w:rsidRDefault="00331AC2" w:rsidP="00331AC2">
      <w:pPr>
        <w:spacing w:after="0" w:line="240" w:lineRule="auto"/>
      </w:pPr>
      <w:r>
        <w:continuationSeparator/>
      </w:r>
    </w:p>
  </w:footnote>
  <w:footnote w:id="1">
    <w:p w14:paraId="5CCD3E74" w14:textId="77777777" w:rsidR="00331AC2" w:rsidRPr="000F035A" w:rsidRDefault="00331AC2" w:rsidP="00331AC2">
      <w:pPr>
        <w:spacing w:after="0"/>
      </w:pPr>
      <w:r w:rsidRPr="0015619F">
        <w:rPr>
          <w:rStyle w:val="ab"/>
          <w:sz w:val="20"/>
          <w:szCs w:val="20"/>
        </w:rPr>
        <w:footnoteRef/>
      </w:r>
      <w:r w:rsidRPr="000F035A">
        <w:rPr>
          <w:sz w:val="20"/>
          <w:szCs w:val="20"/>
        </w:rPr>
        <w:t xml:space="preserve"> </w:t>
      </w:r>
      <w:r w:rsidRPr="000F035A">
        <w:rPr>
          <w:sz w:val="20"/>
          <w:szCs w:val="20"/>
          <w:lang w:eastAsia="el-GR"/>
        </w:rPr>
        <w:t>Η αναθέτουσα αρχή δύναται να αναφέρει συγκεκριμένα δικαιολογητικά στο σημείο αυτό, πρβλ. παρ. 6 του άρθρου 200 του ν. 4412/2016</w:t>
      </w:r>
    </w:p>
  </w:footnote>
  <w:footnote w:id="2">
    <w:p w14:paraId="48E1C6ED" w14:textId="77777777" w:rsidR="00331AC2" w:rsidRPr="000F035A" w:rsidRDefault="00331AC2" w:rsidP="00331AC2">
      <w:pPr>
        <w:spacing w:after="0"/>
        <w:rPr>
          <w:sz w:val="20"/>
          <w:szCs w:val="20"/>
          <w:lang w:eastAsia="el-GR"/>
        </w:rPr>
      </w:pPr>
      <w:r w:rsidRPr="0015619F">
        <w:rPr>
          <w:rStyle w:val="ab"/>
          <w:sz w:val="20"/>
          <w:szCs w:val="20"/>
        </w:rPr>
        <w:footnoteRef/>
      </w:r>
      <w:r w:rsidRPr="000F035A">
        <w:rPr>
          <w:sz w:val="20"/>
          <w:szCs w:val="20"/>
        </w:rPr>
        <w:t xml:space="preserve"> </w:t>
      </w:r>
      <w:r w:rsidRPr="000F035A">
        <w:rPr>
          <w:sz w:val="20"/>
          <w:szCs w:val="20"/>
          <w:lang w:eastAsia="el-GR"/>
        </w:rPr>
        <w:t>Το εδάφιο β ́ συμπληρώνεται μόνο στη περίπτωση συμβάσεων προμηθειών, για τις οποίες απαιτούνται εργασίες τοποθέτησης ή εγκατάστασης, παροχή υπηρεσιών ή εκτέλεση έργων και για τις οποίες υπάρχει επιφύλαξη, σύμφωνα με τις τυχόν απαιτήσεις της Διακήρυξης για την εκτέλεση ορισμένων κρίσιμων καθηκόντων απευθείας από τον ίδιο τον προσφέροντα ή, αν η προσφορά υποβάλλεται από ένωση οικονομικών φορέων, όπως αναφέρεται στην παρ. 2 του άρθρου 19 του ν. 4412/2016, από έναν από τους συμμετέχοντες στην ένωση αυτή, κατά το άρθρο 78 παρ. 2 του ν. 4412/2016</w:t>
      </w:r>
    </w:p>
    <w:p w14:paraId="18994353" w14:textId="77777777" w:rsidR="00331AC2" w:rsidRPr="000F035A" w:rsidRDefault="00331AC2" w:rsidP="00331AC2">
      <w:pPr>
        <w:pStyle w:val="aa"/>
      </w:pPr>
    </w:p>
  </w:footnote>
  <w:footnote w:id="3">
    <w:p w14:paraId="4AB876BB" w14:textId="77777777" w:rsidR="00331AC2" w:rsidRPr="000F035A" w:rsidRDefault="00331AC2" w:rsidP="00331AC2">
      <w:pPr>
        <w:pStyle w:val="aa"/>
      </w:pPr>
      <w:r w:rsidRPr="0015619F">
        <w:rPr>
          <w:rStyle w:val="ab"/>
        </w:rPr>
        <w:footnoteRef/>
      </w:r>
      <w:r w:rsidRPr="000F035A">
        <w:t xml:space="preserve"> </w:t>
      </w:r>
      <w:r w:rsidRPr="000F035A">
        <w:rPr>
          <w:lang w:eastAsia="el-GR"/>
        </w:rPr>
        <w:t>Σε περίπτωση που ο Ανάδοχος έχει στηριχθεί στις ικανότητες του υπεργολάβου όσον αφορά τη χρηματοοικονομική επάρκεια-τεχνική και επαγγελματική ικανότητα, σύμφωνα με τις απαιτήσεις της Διακήρυξης, προβλέπονται στο σημείο αυτό όροι σχετικά με τη διαδικασία και τις προϋποθέσεις αντικατάστασής του</w:t>
      </w:r>
    </w:p>
  </w:footnote>
  <w:footnote w:id="4">
    <w:p w14:paraId="21AFCAE3" w14:textId="77777777" w:rsidR="00331AC2" w:rsidRDefault="00331AC2" w:rsidP="00331AC2">
      <w:pPr>
        <w:pStyle w:val="aa"/>
      </w:pPr>
      <w:r>
        <w:rPr>
          <w:rStyle w:val="ab"/>
        </w:rPr>
        <w:footnoteRef/>
      </w:r>
      <w:r>
        <w:t xml:space="preserve"> Αφορά σε φυσικά πρόσωπα</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7EB"/>
    <w:rsid w:val="00331AC2"/>
    <w:rsid w:val="003C70B4"/>
    <w:rsid w:val="004E0152"/>
    <w:rsid w:val="006F5341"/>
    <w:rsid w:val="009C6DDF"/>
    <w:rsid w:val="00A767E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5EED0"/>
  <w15:chartTrackingRefBased/>
  <w15:docId w15:val="{7E3C0F1F-2B68-4B5F-9D3F-248D3DE8C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767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767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767E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767E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767E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767E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767E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767E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767E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767EB"/>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767EB"/>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767EB"/>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767EB"/>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767EB"/>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767E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767E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767E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767EB"/>
    <w:rPr>
      <w:rFonts w:eastAsiaTheme="majorEastAsia" w:cstheme="majorBidi"/>
      <w:color w:val="272727" w:themeColor="text1" w:themeTint="D8"/>
    </w:rPr>
  </w:style>
  <w:style w:type="paragraph" w:styleId="a3">
    <w:name w:val="Title"/>
    <w:basedOn w:val="a"/>
    <w:next w:val="a"/>
    <w:link w:val="Char"/>
    <w:uiPriority w:val="10"/>
    <w:qFormat/>
    <w:rsid w:val="00A767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767E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767E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767E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767EB"/>
    <w:pPr>
      <w:spacing w:before="160"/>
      <w:jc w:val="center"/>
    </w:pPr>
    <w:rPr>
      <w:i/>
      <w:iCs/>
      <w:color w:val="404040" w:themeColor="text1" w:themeTint="BF"/>
    </w:rPr>
  </w:style>
  <w:style w:type="character" w:customStyle="1" w:styleId="Char1">
    <w:name w:val="Απόσπασμα Char"/>
    <w:basedOn w:val="a0"/>
    <w:link w:val="a5"/>
    <w:uiPriority w:val="29"/>
    <w:rsid w:val="00A767EB"/>
    <w:rPr>
      <w:i/>
      <w:iCs/>
      <w:color w:val="404040" w:themeColor="text1" w:themeTint="BF"/>
    </w:rPr>
  </w:style>
  <w:style w:type="paragraph" w:styleId="a6">
    <w:name w:val="List Paragraph"/>
    <w:basedOn w:val="a"/>
    <w:uiPriority w:val="34"/>
    <w:qFormat/>
    <w:rsid w:val="00A767EB"/>
    <w:pPr>
      <w:ind w:left="720"/>
      <w:contextualSpacing/>
    </w:pPr>
  </w:style>
  <w:style w:type="character" w:styleId="a7">
    <w:name w:val="Intense Emphasis"/>
    <w:basedOn w:val="a0"/>
    <w:uiPriority w:val="21"/>
    <w:qFormat/>
    <w:rsid w:val="00A767EB"/>
    <w:rPr>
      <w:i/>
      <w:iCs/>
      <w:color w:val="0F4761" w:themeColor="accent1" w:themeShade="BF"/>
    </w:rPr>
  </w:style>
  <w:style w:type="paragraph" w:styleId="a8">
    <w:name w:val="Intense Quote"/>
    <w:basedOn w:val="a"/>
    <w:next w:val="a"/>
    <w:link w:val="Char2"/>
    <w:uiPriority w:val="30"/>
    <w:qFormat/>
    <w:rsid w:val="00A767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767EB"/>
    <w:rPr>
      <w:i/>
      <w:iCs/>
      <w:color w:val="0F4761" w:themeColor="accent1" w:themeShade="BF"/>
    </w:rPr>
  </w:style>
  <w:style w:type="character" w:styleId="a9">
    <w:name w:val="Intense Reference"/>
    <w:basedOn w:val="a0"/>
    <w:uiPriority w:val="32"/>
    <w:qFormat/>
    <w:rsid w:val="00A767EB"/>
    <w:rPr>
      <w:b/>
      <w:bCs/>
      <w:smallCaps/>
      <w:color w:val="0F4761" w:themeColor="accent1" w:themeShade="BF"/>
      <w:spacing w:val="5"/>
    </w:rPr>
  </w:style>
  <w:style w:type="paragraph" w:styleId="aa">
    <w:name w:val="footnote text"/>
    <w:basedOn w:val="a"/>
    <w:link w:val="Char3"/>
    <w:uiPriority w:val="99"/>
    <w:semiHidden/>
    <w:unhideWhenUsed/>
    <w:rsid w:val="00331AC2"/>
    <w:pPr>
      <w:spacing w:after="0" w:line="240" w:lineRule="auto"/>
    </w:pPr>
    <w:rPr>
      <w:sz w:val="20"/>
      <w:szCs w:val="20"/>
    </w:rPr>
  </w:style>
  <w:style w:type="character" w:customStyle="1" w:styleId="Char3">
    <w:name w:val="Κείμενο υποσημείωσης Char"/>
    <w:basedOn w:val="a0"/>
    <w:link w:val="aa"/>
    <w:uiPriority w:val="99"/>
    <w:semiHidden/>
    <w:rsid w:val="00331AC2"/>
    <w:rPr>
      <w:sz w:val="20"/>
      <w:szCs w:val="20"/>
    </w:rPr>
  </w:style>
  <w:style w:type="character" w:styleId="ab">
    <w:name w:val="footnote reference"/>
    <w:uiPriority w:val="99"/>
    <w:rsid w:val="00331AC2"/>
    <w:rPr>
      <w:vertAlign w:val="superscript"/>
    </w:rPr>
  </w:style>
  <w:style w:type="paragraph" w:styleId="ac">
    <w:name w:val="header"/>
    <w:basedOn w:val="a"/>
    <w:link w:val="Char4"/>
    <w:uiPriority w:val="99"/>
    <w:unhideWhenUsed/>
    <w:rsid w:val="004E0152"/>
    <w:pPr>
      <w:tabs>
        <w:tab w:val="center" w:pos="4153"/>
        <w:tab w:val="right" w:pos="8306"/>
      </w:tabs>
      <w:spacing w:after="0" w:line="240" w:lineRule="auto"/>
    </w:pPr>
  </w:style>
  <w:style w:type="character" w:customStyle="1" w:styleId="Char4">
    <w:name w:val="Κεφαλίδα Char"/>
    <w:basedOn w:val="a0"/>
    <w:link w:val="ac"/>
    <w:uiPriority w:val="99"/>
    <w:rsid w:val="004E0152"/>
  </w:style>
  <w:style w:type="paragraph" w:styleId="ad">
    <w:name w:val="footer"/>
    <w:basedOn w:val="a"/>
    <w:link w:val="Char5"/>
    <w:uiPriority w:val="99"/>
    <w:unhideWhenUsed/>
    <w:rsid w:val="004E0152"/>
    <w:pPr>
      <w:tabs>
        <w:tab w:val="center" w:pos="4153"/>
        <w:tab w:val="right" w:pos="8306"/>
      </w:tabs>
      <w:spacing w:after="0" w:line="240" w:lineRule="auto"/>
    </w:pPr>
  </w:style>
  <w:style w:type="character" w:customStyle="1" w:styleId="Char5">
    <w:name w:val="Υποσέλιδο Char"/>
    <w:basedOn w:val="a0"/>
    <w:link w:val="ad"/>
    <w:uiPriority w:val="99"/>
    <w:rsid w:val="004E0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8993</Words>
  <Characters>48568</Characters>
  <Application>Microsoft Office Word</Application>
  <DocSecurity>0</DocSecurity>
  <Lines>404</Lines>
  <Paragraphs>114</Paragraphs>
  <ScaleCrop>false</ScaleCrop>
  <Company/>
  <LinksUpToDate>false</LinksUpToDate>
  <CharactersWithSpaces>57447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Στυλιανός Περισοράτης</dc:creator>
  <cp:keywords/>
  <dc:description/>
  <cp:lastModifiedBy>Στυλιανός Περισοράτης</cp:lastModifiedBy>
  <cp:revision>3</cp:revision>
  <dcterms:created xsi:type="dcterms:W3CDTF">2025-09-25T09:20:00Z</dcterms:created>
  <dcterms:modified xsi:type="dcterms:W3CDTF">2025-09-25T09:24:00Z</dcterms:modified>
</cp:coreProperties>
</file>