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Default="00B126B0" w:rsidP="002F78AB">
      <w:pPr>
        <w:rPr>
          <w:lang w:val="el-GR"/>
        </w:rPr>
      </w:pPr>
    </w:p>
    <w:p w14:paraId="08FAF3DF" w14:textId="77777777" w:rsidR="007F3349" w:rsidRPr="007F3349" w:rsidRDefault="007F3349" w:rsidP="007F3349">
      <w:pPr>
        <w:rPr>
          <w:lang w:val="el-GR"/>
        </w:rPr>
      </w:pPr>
    </w:p>
    <w:sectPr w:rsidR="007F3349" w:rsidRPr="007F3349"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6C35967C" w:rsidR="00B126B0" w:rsidRDefault="007120BB" w:rsidP="007120BB">
    <w:pPr>
      <w:tabs>
        <w:tab w:val="left" w:pos="804"/>
        <w:tab w:val="left" w:pos="3180"/>
      </w:tabs>
    </w:pPr>
    <w:r>
      <w:tab/>
    </w:r>
    <w:r w:rsidR="007F3349">
      <w:rPr>
        <w:noProof/>
      </w:rPr>
      <w:drawing>
        <wp:inline distT="0" distB="0" distL="0" distR="0" wp14:anchorId="315E94B1" wp14:editId="128EF081">
          <wp:extent cx="2060575" cy="841375"/>
          <wp:effectExtent l="0" t="0" r="0" b="0"/>
          <wp:docPr id="25249154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841375"/>
                  </a:xfrm>
                  <a:prstGeom prst="rect">
                    <a:avLst/>
                  </a:prstGeom>
                  <a:noFill/>
                </pic:spPr>
              </pic:pic>
            </a:graphicData>
          </a:graphic>
        </wp:inline>
      </w:drawing>
    </w:r>
    <w:r>
      <w:tab/>
    </w:r>
    <w:r w:rsidR="007F3349">
      <w:rPr>
        <w:noProof/>
      </w:rPr>
      <w:drawing>
        <wp:inline distT="0" distB="0" distL="0" distR="0" wp14:anchorId="1EB8E58E" wp14:editId="0A72ABCD">
          <wp:extent cx="2865120" cy="1024255"/>
          <wp:effectExtent l="0" t="0" r="0" b="4445"/>
          <wp:docPr id="37127412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5120" cy="102425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55FA" w14:textId="548D8526" w:rsidR="00B126B0" w:rsidRPr="00237BB9" w:rsidRDefault="007F3349" w:rsidP="007F3349">
    <w:pPr>
      <w:pStyle w:val="a4"/>
      <w:jc w:val="center"/>
    </w:pPr>
    <w:r>
      <w:rPr>
        <w:noProof/>
        <w:lang w:val="el-GR"/>
      </w:rPr>
      <w:drawing>
        <wp:inline distT="0" distB="0" distL="0" distR="0" wp14:anchorId="4C20E772" wp14:editId="291A19C3">
          <wp:extent cx="2061713" cy="840740"/>
          <wp:effectExtent l="0" t="0" r="0" b="0"/>
          <wp:docPr id="138812855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12" cy="851138"/>
                  </a:xfrm>
                  <a:prstGeom prst="rect">
                    <a:avLst/>
                  </a:prstGeom>
                  <a:noFill/>
                </pic:spPr>
              </pic:pic>
            </a:graphicData>
          </a:graphic>
        </wp:inline>
      </w:drawing>
    </w:r>
    <w:r>
      <w:rPr>
        <w:noProof/>
        <w:lang w:val="el-GR"/>
      </w:rPr>
      <w:drawing>
        <wp:inline distT="0" distB="0" distL="0" distR="0" wp14:anchorId="0498BD7B" wp14:editId="3AD071B6">
          <wp:extent cx="2863970" cy="1023620"/>
          <wp:effectExtent l="0" t="0" r="0" b="5080"/>
          <wp:docPr id="147664860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9047" cy="103258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C9FB" w14:textId="77777777" w:rsidR="00B126B0" w:rsidRPr="007F3349" w:rsidRDefault="00B126B0">
    <w:pPr>
      <w:pStyle w:val="a5"/>
      <w:rPr>
        <w:lang w:val="el-GR"/>
      </w:rPr>
    </w:pPr>
  </w:p>
  <w:p w14:paraId="6E79D57E" w14:textId="77777777" w:rsidR="00B126B0" w:rsidRPr="007F3349" w:rsidRDefault="00B126B0">
    <w:pPr>
      <w:pStyle w:val="a5"/>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A5019"/>
    <w:rsid w:val="002F78AB"/>
    <w:rsid w:val="00412DEB"/>
    <w:rsid w:val="00461CAD"/>
    <w:rsid w:val="004C402A"/>
    <w:rsid w:val="007120BB"/>
    <w:rsid w:val="007F2FED"/>
    <w:rsid w:val="007F3349"/>
    <w:rsid w:val="008B36BE"/>
    <w:rsid w:val="009A259B"/>
    <w:rsid w:val="009F3408"/>
    <w:rsid w:val="00B05824"/>
    <w:rsid w:val="00B126B0"/>
    <w:rsid w:val="00C57674"/>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2509</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2025-09-08T09:51:00Z</dcterms:modified>
</cp:coreProperties>
</file>